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Chemický technik produktmanažer</w:t>
      </w:r>
      <w:bookmarkEnd w:id="1"/>
    </w:p>
    <w:p>
      <w:pPr/>
      <w:r>
        <w:rPr/>
        <w:t xml:space="preserve">Chemický technik produktmanažer se orientuje v sortimentu chemických produktů a zajišťuje administrativní podporu a přípravu jejich prodeje a přepravy.</w:t>
      </w:r>
    </w:p>
    <w:p/>
    <w:tbl>
      <w:tblGrid>
        <w:gridCol w:w="3000" w:type="dxa"/>
        <w:gridCol w:w="6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r>
              <w:rPr>
                <w:b w:val="1"/>
                <w:bCs w:val="1"/>
              </w:rPr>
              <w:t xml:space="preserve">Odborný směr:</w:t>
            </w:r>
          </w:p>
        </w:tc>
        <w:tc>
          <w:tcPr>
            <w:tcW w:w="6000" w:type="dxa"/>
          </w:tcPr>
          <w:p>
            <w:pPr/>
            <w:r>
              <w:rPr/>
              <w:t xml:space="preserve">Chemie</w:t>
            </w:r>
          </w:p>
        </w:tc>
      </w:tr>
      <w:tr>
        <w:trPr/>
        <w:tc>
          <w:tcPr/>
          <w:p>
            <w:pPr/>
            <w:r>
              <w:rPr>
                <w:b w:val="1"/>
                <w:bCs w:val="1"/>
              </w:rPr>
              <w:t xml:space="preserve">Odborný podsměr:</w:t>
            </w:r>
          </w:p>
        </w:tc>
        <w:tc>
          <w:tcPr/>
          <w:p>
            <w:pPr/>
            <w:r>
              <w:rPr/>
              <w:t xml:space="preserve">výroba chemických produktů</w:t>
            </w:r>
          </w:p>
        </w:tc>
      </w:tr>
      <w:tr>
        <w:trPr/>
        <w:tc>
          <w:tcPr/>
          <w:p>
            <w:pPr/>
            <w:r>
              <w:rPr>
                <w:b w:val="1"/>
                <w:bCs w:val="1"/>
              </w:rPr>
              <w:t xml:space="preserve">Kvalifikační úroveň:</w:t>
            </w:r>
          </w:p>
        </w:tc>
        <w:tc>
          <w:tcPr/>
          <w:p>
            <w:pPr/>
            <w:r>
              <w:rPr/>
              <w:t xml:space="preserve">Střední vzdělání s maturitní zkouškou; Střední vzdělání s výučním listem i maturitní zkouškou</w:t>
            </w:r>
          </w:p>
        </w:tc>
      </w:tr>
      <w:tr>
        <w:trPr/>
        <w:tc>
          <w:tcPr/>
          <w:p>
            <w:pPr/>
            <w:r>
              <w:rPr>
                <w:b w:val="1"/>
                <w:bCs w:val="1"/>
              </w:rPr>
              <w:t xml:space="preserve">Alternativní názvy:</w:t>
            </w:r>
          </w:p>
        </w:tc>
        <w:tc>
          <w:tcPr/>
          <w:p>
            <w:pPr/>
            <w:r>
              <w:rPr/>
              <w:t xml:space="preserve">Chemik - prodejce junior, Asistent chemického prodeje, Administrátor prodeje chemických produktů, Referent chemického prodeje</w:t>
            </w:r>
          </w:p>
        </w:tc>
      </w:tr>
      <w:tr>
        <w:trPr/>
        <w:tc>
          <w:tcPr/>
          <w:p>
            <w:pPr/>
            <w:r>
              <w:rPr>
                <w:b w:val="1"/>
                <w:bCs w:val="1"/>
              </w:rPr>
              <w:t xml:space="preserve">Nadřízené povolání:</w:t>
            </w:r>
          </w:p>
        </w:tc>
        <w:tc>
          <w:tcPr/>
          <w:p>
            <w:pPr/>
            <w:r>
              <w:rPr/>
              <w:t xml:space="preserve">Chemický technik</w:t>
            </w:r>
          </w:p>
        </w:tc>
      </w:tr>
      <w:tr>
        <w:trPr/>
        <w:tc>
          <w:tcPr/>
          <w:p>
            <w:pPr/>
            <w:r>
              <w:rPr>
                <w:b w:val="1"/>
                <w:bCs w:val="1"/>
              </w:rPr>
              <w:t xml:space="preserve">Příbuzné specializace:</w:t>
            </w:r>
          </w:p>
        </w:tc>
        <w:tc>
          <w:tcPr/>
          <w:p>
            <w:pPr/>
            <w:r>
              <w:rPr/>
              <w:t xml:space="preserve">Chemický technik pro environment, Chemický technik mistr, Chemický technik environmentální geochemik, Chemický technik operátor, Chemický technik produktmanažer, Chemický technik analytik, Chemický technik pro povrchové úpravy materiálů, Chemický technik manažer provozu, Chemický technik pro kompozitní materiály, Chemický technik BOZP, Chemický technik plánovač, Chemický technik technolog, Chemický technik pro povrchové úpravy materiálů</w:t>
            </w:r>
          </w:p>
        </w:tc>
      </w:tr>
      <w:tr>
        <w:trPr/>
        <w:tc>
          <w:tcPr/>
          <w:p>
            <w:pPr/>
            <w:r>
              <w:rPr>
                <w:b w:val="1"/>
                <w:bCs w:val="1"/>
              </w:rPr>
              <w:t xml:space="preserve">Regulovaná jednotka práce:</w:t>
            </w:r>
          </w:p>
        </w:tc>
        <w:tc>
          <w:tcPr/>
          <w:p>
            <w:pPr/>
            <w:r>
              <w:rPr/>
              <w:t xml:space="preserve">ne</w:t>
            </w:r>
          </w:p>
        </w:tc>
      </w:tr>
    </w:tbl>
    <w:p/>
    <w:p>
      <w:pPr>
        <w:pStyle w:val="Heading2"/>
      </w:pPr>
      <w:bookmarkStart w:id="2" w:name="_Toc2"/>
      <w:r>
        <w:t>Pracovní činnosti</w:t>
      </w:r>
      <w:bookmarkEnd w:id="2"/>
    </w:p>
    <w:p>
      <w:pPr>
        <w:numPr>
          <w:ilvl w:val="0"/>
          <w:numId w:val="5"/>
        </w:numPr>
      </w:pPr>
      <w:r>
        <w:rPr/>
        <w:t xml:space="preserve">Administrativní podpora prodeje přiděleného chemického portfolia.</w:t>
      </w:r>
    </w:p>
    <w:p>
      <w:pPr>
        <w:numPr>
          <w:ilvl w:val="0"/>
          <w:numId w:val="5"/>
        </w:numPr>
      </w:pPr>
      <w:r>
        <w:rPr/>
        <w:t xml:space="preserve">Zpracování podkladů pro jednání se zákazníky a obchodními partnery tuzemskými i zahraničními.</w:t>
      </w:r>
    </w:p>
    <w:p>
      <w:pPr>
        <w:numPr>
          <w:ilvl w:val="0"/>
          <w:numId w:val="5"/>
        </w:numPr>
      </w:pPr>
      <w:r>
        <w:rPr/>
        <w:t xml:space="preserve">Příprava podkladů pro vyřizování reklamací.</w:t>
      </w:r>
    </w:p>
    <w:p>
      <w:pPr>
        <w:numPr>
          <w:ilvl w:val="0"/>
          <w:numId w:val="5"/>
        </w:numPr>
      </w:pPr>
      <w:r>
        <w:rPr/>
        <w:t xml:space="preserve">Příprava podkladů pro zpracování obchodního plánu v rámci příslušného chemického výrobkového portfolia.</w:t>
      </w:r>
    </w:p>
    <w:p>
      <w:pPr>
        <w:numPr>
          <w:ilvl w:val="0"/>
          <w:numId w:val="5"/>
        </w:numPr>
      </w:pPr>
      <w:r>
        <w:rPr/>
        <w:t xml:space="preserve">Provádění průzkumu trhu a hledání potenciálních klientů v oblasti příslušného výrobkového portfolia.</w:t>
      </w:r>
    </w:p>
    <w:p>
      <w:pPr>
        <w:numPr>
          <w:ilvl w:val="0"/>
          <w:numId w:val="5"/>
        </w:numPr>
      </w:pPr>
      <w:r>
        <w:rPr/>
        <w:t xml:space="preserve">Zpracování statistik prodeje přiděleného portfolia chemických produktů.</w:t>
      </w:r>
    </w:p>
    <w:p>
      <w:pPr>
        <w:numPr>
          <w:ilvl w:val="0"/>
          <w:numId w:val="5"/>
        </w:numPr>
      </w:pPr>
      <w:r>
        <w:rPr/>
        <w:t xml:space="preserve">Evidování objednávek a kupních smluv v rámci produktového portfolia.</w:t>
      </w:r>
    </w:p>
    <w:p/>
    <w:p>
      <w:pPr>
        <w:pStyle w:val="Heading2"/>
      </w:pPr>
      <w:bookmarkStart w:id="3" w:name="_Toc3"/>
      <w:r>
        <w:t>CZ-ISCO</w:t>
      </w:r>
      <w:bookmarkEnd w:id="3"/>
    </w:p>
    <w:p>
      <w:pPr>
        <w:numPr>
          <w:ilvl w:val="0"/>
          <w:numId w:val="5"/>
        </w:numPr>
      </w:pPr>
      <w:r>
        <w:rPr/>
        <w:t xml:space="preserve">Obchodní referenti</w:t>
      </w:r>
    </w:p>
    <w:p>
      <w:pPr>
        <w:numPr>
          <w:ilvl w:val="0"/>
          <w:numId w:val="5"/>
        </w:numPr>
      </w:pPr>
      <w:r>
        <w:rPr/>
        <w:t xml:space="preserve">Zprostředkovatelé služeb jinde neuvedení</w:t>
      </w:r>
    </w:p>
    <w:p/>
    <w:p>
      <w:pPr>
        <w:pStyle w:val="Heading3"/>
      </w:pPr>
      <w:bookmarkStart w:id="4" w:name="_Toc4"/>
      <w:r>
        <w:t>Hrubé měsíční mzdy podle krajů v roce 2024</w:t>
      </w:r>
      <w:bookmarkEnd w:id="4"/>
    </w:p>
    <w:p>
      <w:pPr>
        <w:pStyle w:val="Heading4"/>
      </w:pPr>
      <w:bookmarkStart w:id="5" w:name="_Toc5"/>
      <w:r>
        <w:t>Zprostředkovatelé služeb jinde neuvedení (CZ-ISCO 3339)</w:t>
      </w:r>
      <w:bookmarkEnd w:id="5"/>
    </w:p>
    <w:tbl>
      <w:tblGrid>
        <w:gridCol w:w="2400" w:type="dxa"/>
        <w:gridCol w:w="1100" w:type="dxa"/>
        <w:gridCol w:w="1100" w:type="dxa"/>
        <w:gridCol w:w="1100" w:type="dxa"/>
        <w:gridCol w:w="1100" w:type="dxa"/>
        <w:gridCol w:w="1100" w:type="dxa"/>
        <w:gridCol w:w="1100" w:type="dxa"/>
      </w:tblGrid>
      <w:tblPr>
        <w:jc w:val="start"/>
        <w:tblW w:w="0" w:type="auto"/>
        <w:tblCellSpacing w:w="50" w:type="dxa"/>
        <w:tblLayout w:type="autofit"/>
        <w:bidiVisual w:val="0"/>
        <w:tblCellMar>
          <w:top w:w="80" w:type="dxa"/>
          <w:left w:w="80" w:type="dxa"/>
          <w:right w:w="80" w:type="dxa"/>
          <w:bottom w:w="80" w:type="dxa"/>
        </w:tblCellMar>
      </w:tblPr>
      <w:tr>
        <w:trPr/>
        <w:tc>
          <w:tcPr>
            <w:tcW w:w="2400" w:type="dxa"/>
          </w:tcPr>
          <w:p/>
        </w:tc>
        <w:tc>
          <w:tcPr>
            <w:tcW w:w="3300" w:type="dxa"/>
            <w:gridSpan w:val="3"/>
          </w:tcPr>
          <w:p>
            <w:pPr>
              <w:jc w:val="center"/>
            </w:pPr>
            <w:r>
              <w:rPr>
                <w:b w:val="1"/>
                <w:bCs w:val="1"/>
              </w:rPr>
              <w:t xml:space="preserve">Mzdová sféra</w:t>
            </w:r>
          </w:p>
        </w:tc>
        <w:tc>
          <w:tcPr>
            <w:tcW w:w="3300" w:type="dxa"/>
            <w:gridSpan w:val="3"/>
          </w:tcPr>
          <w:p>
            <w:pPr>
              <w:jc w:val="center"/>
            </w:pPr>
            <w:r>
              <w:rPr>
                <w:b w:val="1"/>
                <w:bCs w:val="1"/>
              </w:rPr>
              <w:t xml:space="preserve">Platová sféra</w:t>
            </w:r>
          </w:p>
        </w:tc>
      </w:tr>
      <w:tr>
        <w:trPr/>
        <w:tc>
          <w:tcPr>
            <w:tcW w:w="2400" w:type="dxa"/>
          </w:tcPr>
          <w:p>
            <w:pPr/>
            <w:r>
              <w:rPr>
                <w:b w:val="1"/>
                <w:bCs w:val="1"/>
              </w:rPr>
              <w:t xml:space="preserve">Kraj</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r>
      <w:tr>
        <w:trPr/>
        <w:tc>
          <w:tcPr>
            <w:tcW w:w="2000" w:type="dxa"/>
          </w:tcPr>
          <w:p>
            <w:pPr/>
            <w:r>
              <w:rPr/>
              <w:t xml:space="preserve">Hlavní město Praha</w:t>
            </w:r>
          </w:p>
        </w:tc>
        <w:tc>
          <w:tcPr>
            <w:tcW w:w="1000" w:type="dxa"/>
          </w:tcPr>
          <w:p>
            <w:pPr>
              <w:jc w:val="center"/>
            </w:pPr>
            <w:r>
              <w:rPr/>
              <w:t xml:space="preserve">27 035 Kč</w:t>
            </w:r>
          </w:p>
        </w:tc>
        <w:tc>
          <w:tcPr>
            <w:tcW w:w="1000" w:type="dxa"/>
          </w:tcPr>
          <w:p>
            <w:pPr>
              <w:jc w:val="center"/>
            </w:pPr>
            <w:r>
              <w:rPr/>
              <w:t xml:space="preserve">45 957 Kč</w:t>
            </w:r>
          </w:p>
        </w:tc>
        <w:tc>
          <w:tcPr>
            <w:tcW w:w="1000" w:type="dxa"/>
          </w:tcPr>
          <w:p>
            <w:pPr>
              <w:jc w:val="center"/>
            </w:pPr>
            <w:r>
              <w:rPr/>
              <w:t xml:space="preserve">72 679 Kč</w:t>
            </w:r>
          </w:p>
        </w:tc>
        <w:tc>
          <w:tcPr>
            <w:tcW w:w="1000" w:type="dxa"/>
          </w:tcPr>
          <w:p>
            <w:pPr>
              <w:jc w:val="center"/>
            </w:pPr>
            <w:r>
              <w:rPr/>
              <w:t xml:space="preserve">34 581 Kč</w:t>
            </w:r>
          </w:p>
        </w:tc>
        <w:tc>
          <w:tcPr>
            <w:tcW w:w="1000" w:type="dxa"/>
          </w:tcPr>
          <w:p>
            <w:pPr>
              <w:jc w:val="center"/>
            </w:pPr>
            <w:r>
              <w:rPr/>
              <w:t xml:space="preserve">42 910 Kč</w:t>
            </w:r>
          </w:p>
        </w:tc>
        <w:tc>
          <w:tcPr>
            <w:tcW w:w="1000" w:type="dxa"/>
          </w:tcPr>
          <w:p>
            <w:pPr>
              <w:jc w:val="center"/>
            </w:pPr>
            <w:r>
              <w:rPr/>
              <w:t xml:space="preserve">61 679 Kč</w:t>
            </w:r>
          </w:p>
        </w:tc>
      </w:tr>
      <w:tr>
        <w:trPr/>
        <w:tc>
          <w:tcPr>
            <w:tcW w:w="2000" w:type="dxa"/>
          </w:tcPr>
          <w:p>
            <w:pPr/>
            <w:r>
              <w:rPr/>
              <w:t xml:space="preserve">Středočeský kraj</w:t>
            </w:r>
          </w:p>
        </w:tc>
        <w:tc>
          <w:tcPr>
            <w:tcW w:w="1000" w:type="dxa"/>
          </w:tcPr>
          <w:p>
            <w:pPr>
              <w:jc w:val="center"/>
            </w:pPr>
            <w:r>
              <w:rPr/>
              <w:t xml:space="preserve">29 429 Kč</w:t>
            </w:r>
          </w:p>
        </w:tc>
        <w:tc>
          <w:tcPr>
            <w:tcW w:w="1000" w:type="dxa"/>
          </w:tcPr>
          <w:p>
            <w:pPr>
              <w:jc w:val="center"/>
            </w:pPr>
            <w:r>
              <w:rPr/>
              <w:t xml:space="preserve">43 674 Kč</w:t>
            </w:r>
          </w:p>
        </w:tc>
        <w:tc>
          <w:tcPr>
            <w:tcW w:w="1000" w:type="dxa"/>
          </w:tcPr>
          <w:p>
            <w:pPr>
              <w:jc w:val="center"/>
            </w:pPr>
            <w:r>
              <w:rPr/>
              <w:t xml:space="preserve">77 903 Kč</w:t>
            </w:r>
          </w:p>
        </w:tc>
        <w:tc>
          <w:tcPr>
            <w:tcW w:w="1000" w:type="dxa"/>
          </w:tcPr>
          <w:p>
            <w:pPr>
              <w:jc w:val="center"/>
            </w:pPr>
            <w:r>
              <w:rPr/>
              <w:t xml:space="preserve">29 533 Kč</w:t>
            </w:r>
          </w:p>
        </w:tc>
        <w:tc>
          <w:tcPr>
            <w:tcW w:w="1000" w:type="dxa"/>
          </w:tcPr>
          <w:p>
            <w:pPr>
              <w:jc w:val="center"/>
            </w:pPr>
            <w:r>
              <w:rPr/>
              <w:t xml:space="preserve">38 908 Kč</w:t>
            </w:r>
          </w:p>
        </w:tc>
        <w:tc>
          <w:tcPr>
            <w:tcW w:w="1000" w:type="dxa"/>
          </w:tcPr>
          <w:p>
            <w:pPr>
              <w:jc w:val="center"/>
            </w:pPr>
            <w:r>
              <w:rPr/>
              <w:t xml:space="preserve">50 401 Kč</w:t>
            </w:r>
          </w:p>
        </w:tc>
      </w:tr>
      <w:tr>
        <w:trPr/>
        <w:tc>
          <w:tcPr>
            <w:tcW w:w="2000" w:type="dxa"/>
          </w:tcPr>
          <w:p>
            <w:pPr/>
            <w:r>
              <w:rPr/>
              <w:t xml:space="preserve">Jihočeský kraj</w:t>
            </w:r>
          </w:p>
        </w:tc>
        <w:tc>
          <w:tcPr>
            <w:tcW w:w="1000" w:type="dxa"/>
          </w:tcPr>
          <w:p>
            <w:pPr>
              <w:jc w:val="center"/>
            </w:pPr>
            <w:r>
              <w:rPr/>
              <w:t xml:space="preserve">29 715 Kč</w:t>
            </w:r>
          </w:p>
        </w:tc>
        <w:tc>
          <w:tcPr>
            <w:tcW w:w="1000" w:type="dxa"/>
          </w:tcPr>
          <w:p>
            <w:pPr>
              <w:jc w:val="center"/>
            </w:pPr>
            <w:r>
              <w:rPr/>
              <w:t xml:space="preserve">40 728 Kč</w:t>
            </w:r>
          </w:p>
        </w:tc>
        <w:tc>
          <w:tcPr>
            <w:tcW w:w="1000" w:type="dxa"/>
          </w:tcPr>
          <w:p>
            <w:pPr>
              <w:jc w:val="center"/>
            </w:pPr>
            <w:r>
              <w:rPr/>
              <w:t xml:space="preserve">60 391 Kč</w:t>
            </w:r>
          </w:p>
        </w:tc>
        <w:tc>
          <w:tcPr>
            <w:tcW w:w="1000" w:type="dxa"/>
          </w:tcPr>
          <w:p>
            <w:pPr>
              <w:jc w:val="center"/>
            </w:pPr>
            <w:r>
              <w:rPr/>
              <w:t xml:space="preserve">31 620 Kč</w:t>
            </w:r>
          </w:p>
        </w:tc>
        <w:tc>
          <w:tcPr>
            <w:tcW w:w="1000" w:type="dxa"/>
          </w:tcPr>
          <w:p>
            <w:pPr>
              <w:jc w:val="center"/>
            </w:pPr>
            <w:r>
              <w:rPr/>
              <w:t xml:space="preserve">39 268 Kč</w:t>
            </w:r>
          </w:p>
        </w:tc>
        <w:tc>
          <w:tcPr>
            <w:tcW w:w="1000" w:type="dxa"/>
          </w:tcPr>
          <w:p>
            <w:pPr>
              <w:jc w:val="center"/>
            </w:pPr>
            <w:r>
              <w:rPr/>
              <w:t xml:space="preserve">51 316 Kč</w:t>
            </w:r>
          </w:p>
        </w:tc>
      </w:tr>
      <w:tr>
        <w:trPr/>
        <w:tc>
          <w:tcPr>
            <w:tcW w:w="2000" w:type="dxa"/>
          </w:tcPr>
          <w:p>
            <w:pPr/>
            <w:r>
              <w:rPr/>
              <w:t xml:space="preserve">Plzeňský kraj</w:t>
            </w:r>
          </w:p>
        </w:tc>
        <w:tc>
          <w:tcPr>
            <w:tcW w:w="1000" w:type="dxa"/>
          </w:tcPr>
          <w:p>
            <w:pPr>
              <w:jc w:val="center"/>
            </w:pPr>
            <w:r>
              <w:rPr/>
              <w:t xml:space="preserve">22 945 Kč</w:t>
            </w:r>
          </w:p>
        </w:tc>
        <w:tc>
          <w:tcPr>
            <w:tcW w:w="1000" w:type="dxa"/>
          </w:tcPr>
          <w:p>
            <w:pPr>
              <w:jc w:val="center"/>
            </w:pPr>
            <w:r>
              <w:rPr/>
              <w:t xml:space="preserve">37 328 Kč</w:t>
            </w:r>
          </w:p>
        </w:tc>
        <w:tc>
          <w:tcPr>
            <w:tcW w:w="1000" w:type="dxa"/>
          </w:tcPr>
          <w:p>
            <w:pPr>
              <w:jc w:val="center"/>
            </w:pPr>
            <w:r>
              <w:rPr/>
              <w:t xml:space="preserve">63 122 Kč</w:t>
            </w:r>
          </w:p>
        </w:tc>
        <w:tc>
          <w:tcPr>
            <w:tcW w:w="1000" w:type="dxa"/>
          </w:tcPr>
          <w:p>
            <w:pPr>
              <w:jc w:val="center"/>
            </w:pPr>
            <w:r>
              <w:rPr/>
              <w:t xml:space="preserve">31 120 Kč</w:t>
            </w:r>
          </w:p>
        </w:tc>
        <w:tc>
          <w:tcPr>
            <w:tcW w:w="1000" w:type="dxa"/>
          </w:tcPr>
          <w:p>
            <w:pPr>
              <w:jc w:val="center"/>
            </w:pPr>
            <w:r>
              <w:rPr/>
              <w:t xml:space="preserve">37 082 Kč</w:t>
            </w:r>
          </w:p>
        </w:tc>
        <w:tc>
          <w:tcPr>
            <w:tcW w:w="1000" w:type="dxa"/>
          </w:tcPr>
          <w:p>
            <w:pPr>
              <w:jc w:val="center"/>
            </w:pPr>
            <w:r>
              <w:rPr/>
              <w:t xml:space="preserve">47 188 Kč</w:t>
            </w:r>
          </w:p>
        </w:tc>
      </w:tr>
      <w:tr>
        <w:trPr/>
        <w:tc>
          <w:tcPr>
            <w:tcW w:w="2000" w:type="dxa"/>
          </w:tcPr>
          <w:p>
            <w:pPr/>
            <w:r>
              <w:rPr/>
              <w:t xml:space="preserve">Karlovarský kraj</w:t>
            </w:r>
          </w:p>
        </w:tc>
        <w:tc>
          <w:tcPr>
            <w:tcW w:w="1000" w:type="dxa"/>
          </w:tcPr>
          <w:p>
            <w:pPr>
              <w:jc w:val="center"/>
            </w:pPr>
            <w:r>
              <w:rPr/>
              <w:t xml:space="preserve">24 080 Kč</w:t>
            </w:r>
          </w:p>
        </w:tc>
        <w:tc>
          <w:tcPr>
            <w:tcW w:w="1000" w:type="dxa"/>
          </w:tcPr>
          <w:p>
            <w:pPr>
              <w:jc w:val="center"/>
            </w:pPr>
            <w:r>
              <w:rPr/>
              <w:t xml:space="preserve">40 216 Kč</w:t>
            </w:r>
          </w:p>
        </w:tc>
        <w:tc>
          <w:tcPr>
            <w:tcW w:w="1000" w:type="dxa"/>
          </w:tcPr>
          <w:p>
            <w:pPr>
              <w:jc w:val="center"/>
            </w:pPr>
            <w:r>
              <w:rPr/>
              <w:t xml:space="preserve">58 077 Kč</w:t>
            </w:r>
          </w:p>
        </w:tc>
        <w:tc>
          <w:tcPr>
            <w:tcW w:w="1000" w:type="dxa"/>
          </w:tcPr>
          <w:p/>
        </w:tc>
        <w:tc>
          <w:tcPr>
            <w:tcW w:w="1000" w:type="dxa"/>
          </w:tcPr>
          <w:p/>
        </w:tc>
        <w:tc>
          <w:tcPr>
            <w:tcW w:w="1000" w:type="dxa"/>
          </w:tcPr>
          <w:p/>
        </w:tc>
      </w:tr>
      <w:tr>
        <w:trPr/>
        <w:tc>
          <w:tcPr>
            <w:tcW w:w="2000" w:type="dxa"/>
          </w:tcPr>
          <w:p>
            <w:pPr/>
            <w:r>
              <w:rPr/>
              <w:t xml:space="preserve">Ústecký kraj</w:t>
            </w:r>
          </w:p>
        </w:tc>
        <w:tc>
          <w:tcPr>
            <w:tcW w:w="1000" w:type="dxa"/>
          </w:tcPr>
          <w:p>
            <w:pPr>
              <w:jc w:val="center"/>
            </w:pPr>
            <w:r>
              <w:rPr/>
              <w:t xml:space="preserve">19 619 Kč</w:t>
            </w:r>
          </w:p>
        </w:tc>
        <w:tc>
          <w:tcPr>
            <w:tcW w:w="1000" w:type="dxa"/>
          </w:tcPr>
          <w:p>
            <w:pPr>
              <w:jc w:val="center"/>
            </w:pPr>
            <w:r>
              <w:rPr/>
              <w:t xml:space="preserve">40 104 Kč</w:t>
            </w:r>
          </w:p>
        </w:tc>
        <w:tc>
          <w:tcPr>
            <w:tcW w:w="1000" w:type="dxa"/>
          </w:tcPr>
          <w:p>
            <w:pPr>
              <w:jc w:val="center"/>
            </w:pPr>
            <w:r>
              <w:rPr/>
              <w:t xml:space="preserve">60 901 Kč</w:t>
            </w:r>
          </w:p>
        </w:tc>
        <w:tc>
          <w:tcPr>
            <w:tcW w:w="1000" w:type="dxa"/>
          </w:tcPr>
          <w:p>
            <w:pPr>
              <w:jc w:val="center"/>
            </w:pPr>
            <w:r>
              <w:rPr/>
              <w:t xml:space="preserve">28 597 Kč</w:t>
            </w:r>
          </w:p>
        </w:tc>
        <w:tc>
          <w:tcPr>
            <w:tcW w:w="1000" w:type="dxa"/>
          </w:tcPr>
          <w:p>
            <w:pPr>
              <w:jc w:val="center"/>
            </w:pPr>
            <w:r>
              <w:rPr/>
              <w:t xml:space="preserve">39 378 Kč</w:t>
            </w:r>
          </w:p>
        </w:tc>
        <w:tc>
          <w:tcPr>
            <w:tcW w:w="1000" w:type="dxa"/>
          </w:tcPr>
          <w:p>
            <w:pPr>
              <w:jc w:val="center"/>
            </w:pPr>
            <w:r>
              <w:rPr/>
              <w:t xml:space="preserve">53 423 Kč</w:t>
            </w:r>
          </w:p>
        </w:tc>
      </w:tr>
      <w:tr>
        <w:trPr/>
        <w:tc>
          <w:tcPr>
            <w:tcW w:w="2000" w:type="dxa"/>
          </w:tcPr>
          <w:p>
            <w:pPr/>
            <w:r>
              <w:rPr/>
              <w:t xml:space="preserve">Liberecký kraj</w:t>
            </w:r>
          </w:p>
        </w:tc>
        <w:tc>
          <w:tcPr>
            <w:tcW w:w="1000" w:type="dxa"/>
          </w:tcPr>
          <w:p>
            <w:pPr>
              <w:jc w:val="center"/>
            </w:pPr>
            <w:r>
              <w:rPr/>
              <w:t xml:space="preserve">25 287 Kč</w:t>
            </w:r>
          </w:p>
        </w:tc>
        <w:tc>
          <w:tcPr>
            <w:tcW w:w="1000" w:type="dxa"/>
          </w:tcPr>
          <w:p>
            <w:pPr>
              <w:jc w:val="center"/>
            </w:pPr>
            <w:r>
              <w:rPr/>
              <w:t xml:space="preserve">38 473 Kč</w:t>
            </w:r>
          </w:p>
        </w:tc>
        <w:tc>
          <w:tcPr>
            <w:tcW w:w="1000" w:type="dxa"/>
          </w:tcPr>
          <w:p>
            <w:pPr>
              <w:jc w:val="center"/>
            </w:pPr>
            <w:r>
              <w:rPr/>
              <w:t xml:space="preserve">59 932 Kč</w:t>
            </w:r>
          </w:p>
        </w:tc>
        <w:tc>
          <w:tcPr>
            <w:tcW w:w="1000" w:type="dxa"/>
          </w:tcPr>
          <w:p>
            <w:pPr>
              <w:jc w:val="center"/>
            </w:pPr>
            <w:r>
              <w:rPr/>
              <w:t xml:space="preserve">28 223 Kč</w:t>
            </w:r>
          </w:p>
        </w:tc>
        <w:tc>
          <w:tcPr>
            <w:tcW w:w="1000" w:type="dxa"/>
          </w:tcPr>
          <w:p>
            <w:pPr>
              <w:jc w:val="center"/>
            </w:pPr>
            <w:r>
              <w:rPr/>
              <w:t xml:space="preserve">36 728 Kč</w:t>
            </w:r>
          </w:p>
        </w:tc>
        <w:tc>
          <w:tcPr>
            <w:tcW w:w="1000" w:type="dxa"/>
          </w:tcPr>
          <w:p>
            <w:pPr>
              <w:jc w:val="center"/>
            </w:pPr>
            <w:r>
              <w:rPr/>
              <w:t xml:space="preserve">45 071 Kč</w:t>
            </w:r>
          </w:p>
        </w:tc>
      </w:tr>
      <w:tr>
        <w:trPr/>
        <w:tc>
          <w:tcPr>
            <w:tcW w:w="2000" w:type="dxa"/>
          </w:tcPr>
          <w:p>
            <w:pPr/>
            <w:r>
              <w:rPr/>
              <w:t xml:space="preserve">Královéhradecký kraj</w:t>
            </w:r>
          </w:p>
        </w:tc>
        <w:tc>
          <w:tcPr>
            <w:tcW w:w="1000" w:type="dxa"/>
          </w:tcPr>
          <w:p>
            <w:pPr>
              <w:jc w:val="center"/>
            </w:pPr>
            <w:r>
              <w:rPr/>
              <w:t xml:space="preserve">24 112 Kč</w:t>
            </w:r>
          </w:p>
        </w:tc>
        <w:tc>
          <w:tcPr>
            <w:tcW w:w="1000" w:type="dxa"/>
          </w:tcPr>
          <w:p>
            <w:pPr>
              <w:jc w:val="center"/>
            </w:pPr>
            <w:r>
              <w:rPr/>
              <w:t xml:space="preserve">40 194 Kč</w:t>
            </w:r>
          </w:p>
        </w:tc>
        <w:tc>
          <w:tcPr>
            <w:tcW w:w="1000" w:type="dxa"/>
          </w:tcPr>
          <w:p>
            <w:pPr>
              <w:jc w:val="center"/>
            </w:pPr>
            <w:r>
              <w:rPr/>
              <w:t xml:space="preserve">81 114 Kč</w:t>
            </w:r>
          </w:p>
        </w:tc>
        <w:tc>
          <w:tcPr>
            <w:tcW w:w="1000" w:type="dxa"/>
          </w:tcPr>
          <w:p/>
        </w:tc>
        <w:tc>
          <w:tcPr>
            <w:tcW w:w="1000" w:type="dxa"/>
          </w:tcPr>
          <w:p/>
        </w:tc>
        <w:tc>
          <w:tcPr>
            <w:tcW w:w="1000" w:type="dxa"/>
          </w:tcPr>
          <w:p/>
        </w:tc>
      </w:tr>
      <w:tr>
        <w:trPr/>
        <w:tc>
          <w:tcPr>
            <w:tcW w:w="2000" w:type="dxa"/>
          </w:tcPr>
          <w:p>
            <w:pPr/>
            <w:r>
              <w:rPr/>
              <w:t xml:space="preserve">Pardubický kraj</w:t>
            </w:r>
          </w:p>
        </w:tc>
        <w:tc>
          <w:tcPr>
            <w:tcW w:w="1000" w:type="dxa"/>
          </w:tcPr>
          <w:p>
            <w:pPr>
              <w:jc w:val="center"/>
            </w:pPr>
            <w:r>
              <w:rPr/>
              <w:t xml:space="preserve">27 189 Kč</w:t>
            </w:r>
          </w:p>
        </w:tc>
        <w:tc>
          <w:tcPr>
            <w:tcW w:w="1000" w:type="dxa"/>
          </w:tcPr>
          <w:p>
            <w:pPr>
              <w:jc w:val="center"/>
            </w:pPr>
            <w:r>
              <w:rPr/>
              <w:t xml:space="preserve">38 190 Kč</w:t>
            </w:r>
          </w:p>
        </w:tc>
        <w:tc>
          <w:tcPr>
            <w:tcW w:w="1000" w:type="dxa"/>
          </w:tcPr>
          <w:p>
            <w:pPr>
              <w:jc w:val="center"/>
            </w:pPr>
            <w:r>
              <w:rPr/>
              <w:t xml:space="preserve">62 500 Kč</w:t>
            </w:r>
          </w:p>
        </w:tc>
        <w:tc>
          <w:tcPr>
            <w:tcW w:w="1000" w:type="dxa"/>
          </w:tcPr>
          <w:p/>
        </w:tc>
        <w:tc>
          <w:tcPr>
            <w:tcW w:w="1000" w:type="dxa"/>
          </w:tcPr>
          <w:p/>
        </w:tc>
        <w:tc>
          <w:tcPr>
            <w:tcW w:w="1000" w:type="dxa"/>
          </w:tcPr>
          <w:p/>
        </w:tc>
      </w:tr>
      <w:tr>
        <w:trPr/>
        <w:tc>
          <w:tcPr>
            <w:tcW w:w="2000" w:type="dxa"/>
          </w:tcPr>
          <w:p>
            <w:pPr/>
            <w:r>
              <w:rPr/>
              <w:t xml:space="preserve">Kraj Vysočina</w:t>
            </w:r>
          </w:p>
        </w:tc>
        <w:tc>
          <w:tcPr>
            <w:tcW w:w="1000" w:type="dxa"/>
          </w:tcPr>
          <w:p>
            <w:pPr>
              <w:jc w:val="center"/>
            </w:pPr>
            <w:r>
              <w:rPr/>
              <w:t xml:space="preserve">25 705 Kč</w:t>
            </w:r>
          </w:p>
        </w:tc>
        <w:tc>
          <w:tcPr>
            <w:tcW w:w="1000" w:type="dxa"/>
          </w:tcPr>
          <w:p>
            <w:pPr>
              <w:jc w:val="center"/>
            </w:pPr>
            <w:r>
              <w:rPr/>
              <w:t xml:space="preserve">41 456 Kč</w:t>
            </w:r>
          </w:p>
        </w:tc>
        <w:tc>
          <w:tcPr>
            <w:tcW w:w="1000" w:type="dxa"/>
          </w:tcPr>
          <w:p>
            <w:pPr>
              <w:jc w:val="center"/>
            </w:pPr>
            <w:r>
              <w:rPr/>
              <w:t xml:space="preserve">59 262 Kč</w:t>
            </w:r>
          </w:p>
        </w:tc>
        <w:tc>
          <w:tcPr>
            <w:tcW w:w="1000" w:type="dxa"/>
          </w:tcPr>
          <w:p>
            <w:pPr>
              <w:jc w:val="center"/>
            </w:pPr>
            <w:r>
              <w:rPr/>
              <w:t xml:space="preserve">31 620 Kč</w:t>
            </w:r>
          </w:p>
        </w:tc>
        <w:tc>
          <w:tcPr>
            <w:tcW w:w="1000" w:type="dxa"/>
          </w:tcPr>
          <w:p>
            <w:pPr>
              <w:jc w:val="center"/>
            </w:pPr>
            <w:r>
              <w:rPr/>
              <w:t xml:space="preserve">41 267 Kč</w:t>
            </w:r>
          </w:p>
        </w:tc>
        <w:tc>
          <w:tcPr>
            <w:tcW w:w="1000" w:type="dxa"/>
          </w:tcPr>
          <w:p>
            <w:pPr>
              <w:jc w:val="center"/>
            </w:pPr>
            <w:r>
              <w:rPr/>
              <w:t xml:space="preserve">47 848 Kč</w:t>
            </w:r>
          </w:p>
        </w:tc>
      </w:tr>
      <w:tr>
        <w:trPr/>
        <w:tc>
          <w:tcPr>
            <w:tcW w:w="2000" w:type="dxa"/>
          </w:tcPr>
          <w:p>
            <w:pPr/>
            <w:r>
              <w:rPr/>
              <w:t xml:space="preserve">Jihomoravský kraj</w:t>
            </w:r>
          </w:p>
        </w:tc>
        <w:tc>
          <w:tcPr>
            <w:tcW w:w="1000" w:type="dxa"/>
          </w:tcPr>
          <w:p>
            <w:pPr>
              <w:jc w:val="center"/>
            </w:pPr>
            <w:r>
              <w:rPr/>
              <w:t xml:space="preserve">26 340 Kč</w:t>
            </w:r>
          </w:p>
        </w:tc>
        <w:tc>
          <w:tcPr>
            <w:tcW w:w="1000" w:type="dxa"/>
          </w:tcPr>
          <w:p>
            <w:pPr>
              <w:jc w:val="center"/>
            </w:pPr>
            <w:r>
              <w:rPr/>
              <w:t xml:space="preserve">40 831 Kč</w:t>
            </w:r>
          </w:p>
        </w:tc>
        <w:tc>
          <w:tcPr>
            <w:tcW w:w="1000" w:type="dxa"/>
          </w:tcPr>
          <w:p>
            <w:pPr>
              <w:jc w:val="center"/>
            </w:pPr>
            <w:r>
              <w:rPr/>
              <w:t xml:space="preserve">61 924 Kč</w:t>
            </w:r>
          </w:p>
        </w:tc>
        <w:tc>
          <w:tcPr>
            <w:tcW w:w="1000" w:type="dxa"/>
          </w:tcPr>
          <w:p>
            <w:pPr>
              <w:jc w:val="center"/>
            </w:pPr>
            <w:r>
              <w:rPr/>
              <w:t xml:space="preserve">32 800 Kč</w:t>
            </w:r>
          </w:p>
        </w:tc>
        <w:tc>
          <w:tcPr>
            <w:tcW w:w="1000" w:type="dxa"/>
          </w:tcPr>
          <w:p>
            <w:pPr>
              <w:jc w:val="center"/>
            </w:pPr>
            <w:r>
              <w:rPr/>
              <w:t xml:space="preserve">39 557 Kč</w:t>
            </w:r>
          </w:p>
        </w:tc>
        <w:tc>
          <w:tcPr>
            <w:tcW w:w="1000" w:type="dxa"/>
          </w:tcPr>
          <w:p>
            <w:pPr>
              <w:jc w:val="center"/>
            </w:pPr>
            <w:r>
              <w:rPr/>
              <w:t xml:space="preserve">52 503 Kč</w:t>
            </w:r>
          </w:p>
        </w:tc>
      </w:tr>
      <w:tr>
        <w:trPr/>
        <w:tc>
          <w:tcPr>
            <w:tcW w:w="2000" w:type="dxa"/>
          </w:tcPr>
          <w:p>
            <w:pPr/>
            <w:r>
              <w:rPr/>
              <w:t xml:space="preserve">Olomoucký kraj</w:t>
            </w:r>
          </w:p>
        </w:tc>
        <w:tc>
          <w:tcPr>
            <w:tcW w:w="1000" w:type="dxa"/>
          </w:tcPr>
          <w:p>
            <w:pPr>
              <w:jc w:val="center"/>
            </w:pPr>
            <w:r>
              <w:rPr/>
              <w:t xml:space="preserve">23 776 Kč</w:t>
            </w:r>
          </w:p>
        </w:tc>
        <w:tc>
          <w:tcPr>
            <w:tcW w:w="1000" w:type="dxa"/>
          </w:tcPr>
          <w:p>
            <w:pPr>
              <w:jc w:val="center"/>
            </w:pPr>
            <w:r>
              <w:rPr/>
              <w:t xml:space="preserve">34 745 Kč</w:t>
            </w:r>
          </w:p>
        </w:tc>
        <w:tc>
          <w:tcPr>
            <w:tcW w:w="1000" w:type="dxa"/>
          </w:tcPr>
          <w:p>
            <w:pPr>
              <w:jc w:val="center"/>
            </w:pPr>
            <w:r>
              <w:rPr/>
              <w:t xml:space="preserve">57 251 Kč</w:t>
            </w:r>
          </w:p>
        </w:tc>
        <w:tc>
          <w:tcPr>
            <w:tcW w:w="1000" w:type="dxa"/>
          </w:tcPr>
          <w:p>
            <w:pPr>
              <w:jc w:val="center"/>
            </w:pPr>
            <w:r>
              <w:rPr/>
              <w:t xml:space="preserve">30 064 Kč</w:t>
            </w:r>
          </w:p>
        </w:tc>
        <w:tc>
          <w:tcPr>
            <w:tcW w:w="1000" w:type="dxa"/>
          </w:tcPr>
          <w:p>
            <w:pPr>
              <w:jc w:val="center"/>
            </w:pPr>
            <w:r>
              <w:rPr/>
              <w:t xml:space="preserve">37 766 Kč</w:t>
            </w:r>
          </w:p>
        </w:tc>
        <w:tc>
          <w:tcPr>
            <w:tcW w:w="1000" w:type="dxa"/>
          </w:tcPr>
          <w:p>
            <w:pPr>
              <w:jc w:val="center"/>
            </w:pPr>
            <w:r>
              <w:rPr/>
              <w:t xml:space="preserve">48 805 Kč</w:t>
            </w:r>
          </w:p>
        </w:tc>
      </w:tr>
      <w:tr>
        <w:trPr/>
        <w:tc>
          <w:tcPr>
            <w:tcW w:w="2000" w:type="dxa"/>
          </w:tcPr>
          <w:p>
            <w:pPr/>
            <w:r>
              <w:rPr/>
              <w:t xml:space="preserve">Zlínský kraj</w:t>
            </w:r>
          </w:p>
        </w:tc>
        <w:tc>
          <w:tcPr>
            <w:tcW w:w="1000" w:type="dxa"/>
          </w:tcPr>
          <w:p>
            <w:pPr>
              <w:jc w:val="center"/>
            </w:pPr>
            <w:r>
              <w:rPr/>
              <w:t xml:space="preserve">22 213 Kč</w:t>
            </w:r>
          </w:p>
        </w:tc>
        <w:tc>
          <w:tcPr>
            <w:tcW w:w="1000" w:type="dxa"/>
          </w:tcPr>
          <w:p>
            <w:pPr>
              <w:jc w:val="center"/>
            </w:pPr>
            <w:r>
              <w:rPr/>
              <w:t xml:space="preserve">39 138 Kč</w:t>
            </w:r>
          </w:p>
        </w:tc>
        <w:tc>
          <w:tcPr>
            <w:tcW w:w="1000" w:type="dxa"/>
          </w:tcPr>
          <w:p>
            <w:pPr>
              <w:jc w:val="center"/>
            </w:pPr>
            <w:r>
              <w:rPr/>
              <w:t xml:space="preserve">59 276 Kč</w:t>
            </w:r>
          </w:p>
        </w:tc>
        <w:tc>
          <w:tcPr>
            <w:tcW w:w="1000" w:type="dxa"/>
          </w:tcPr>
          <w:p>
            <w:pPr>
              <w:jc w:val="center"/>
            </w:pPr>
            <w:r>
              <w:rPr/>
              <w:t xml:space="preserve">30 254 Kč</w:t>
            </w:r>
          </w:p>
        </w:tc>
        <w:tc>
          <w:tcPr>
            <w:tcW w:w="1000" w:type="dxa"/>
          </w:tcPr>
          <w:p>
            <w:pPr>
              <w:jc w:val="center"/>
            </w:pPr>
            <w:r>
              <w:rPr/>
              <w:t xml:space="preserve">38 259 Kč</w:t>
            </w:r>
          </w:p>
        </w:tc>
        <w:tc>
          <w:tcPr>
            <w:tcW w:w="1000" w:type="dxa"/>
          </w:tcPr>
          <w:p>
            <w:pPr>
              <w:jc w:val="center"/>
            </w:pPr>
            <w:r>
              <w:rPr/>
              <w:t xml:space="preserve">53 965 Kč</w:t>
            </w:r>
          </w:p>
        </w:tc>
      </w:tr>
      <w:tr>
        <w:trPr/>
        <w:tc>
          <w:tcPr>
            <w:tcW w:w="2000" w:type="dxa"/>
          </w:tcPr>
          <w:p>
            <w:pPr/>
            <w:r>
              <w:rPr/>
              <w:t xml:space="preserve">Moravskoslezský kraj</w:t>
            </w:r>
          </w:p>
        </w:tc>
        <w:tc>
          <w:tcPr>
            <w:tcW w:w="1000" w:type="dxa"/>
          </w:tcPr>
          <w:p>
            <w:pPr>
              <w:jc w:val="center"/>
            </w:pPr>
            <w:r>
              <w:rPr/>
              <w:t xml:space="preserve">25 163 Kč</w:t>
            </w:r>
          </w:p>
        </w:tc>
        <w:tc>
          <w:tcPr>
            <w:tcW w:w="1000" w:type="dxa"/>
          </w:tcPr>
          <w:p>
            <w:pPr>
              <w:jc w:val="center"/>
            </w:pPr>
            <w:r>
              <w:rPr/>
              <w:t xml:space="preserve">39 025 Kč</w:t>
            </w:r>
          </w:p>
        </w:tc>
        <w:tc>
          <w:tcPr>
            <w:tcW w:w="1000" w:type="dxa"/>
          </w:tcPr>
          <w:p>
            <w:pPr>
              <w:jc w:val="center"/>
            </w:pPr>
            <w:r>
              <w:rPr/>
              <w:t xml:space="preserve">58 047 Kč</w:t>
            </w:r>
          </w:p>
        </w:tc>
        <w:tc>
          <w:tcPr>
            <w:tcW w:w="1000" w:type="dxa"/>
          </w:tcPr>
          <w:p>
            <w:pPr>
              <w:jc w:val="center"/>
            </w:pPr>
            <w:r>
              <w:rPr/>
              <w:t xml:space="preserve">29 485 Kč</w:t>
            </w:r>
          </w:p>
        </w:tc>
        <w:tc>
          <w:tcPr>
            <w:tcW w:w="1000" w:type="dxa"/>
          </w:tcPr>
          <w:p>
            <w:pPr>
              <w:jc w:val="center"/>
            </w:pPr>
            <w:r>
              <w:rPr/>
              <w:t xml:space="preserve">38 316 Kč</w:t>
            </w:r>
          </w:p>
        </w:tc>
        <w:tc>
          <w:tcPr>
            <w:tcW w:w="1000" w:type="dxa"/>
          </w:tcPr>
          <w:p>
            <w:pPr>
              <w:jc w:val="center"/>
            </w:pPr>
            <w:r>
              <w:rPr/>
              <w:t xml:space="preserve">50 348 Kč</w:t>
            </w:r>
          </w:p>
        </w:tc>
      </w:tr>
    </w:tbl>
    <w:p/>
    <w:p>
      <w:pPr>
        <w:pStyle w:val="Heading3"/>
      </w:pPr>
      <w:bookmarkStart w:id="6" w:name="_Toc6"/>
      <w:r>
        <w:t>Hrubé měsíční mzdy v roce 2024 celkem</w:t>
      </w:r>
      <w:bookmarkEnd w:id="6"/>
    </w:p>
    <w:tbl>
      <w:tblGrid>
        <w:gridCol w:w="1000" w:type="dxa"/>
        <w:gridCol w:w="2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gridSpan w:val="2"/>
          </w:tcPr>
          <w:p/>
        </w:tc>
        <w:tc>
          <w:tcPr>
            <w:tcW w:w="6000" w:type="dxa"/>
            <w:gridSpan w:val="2"/>
          </w:tcPr>
          <w:p>
            <w:pPr>
              <w:jc w:val="center"/>
            </w:pPr>
            <w:r>
              <w:rPr>
                <w:b w:val="1"/>
                <w:bCs w:val="1"/>
              </w:rPr>
              <w:t xml:space="preserve">Medián za ČR celkem</w:t>
            </w:r>
          </w:p>
        </w:tc>
      </w:tr>
      <w:tr>
        <w:trPr/>
        <w:tc>
          <w:tcPr>
            <w:tcW w:w="1000" w:type="dxa"/>
          </w:tcPr>
          <w:p>
            <w:pPr/>
            <w:r>
              <w:rPr>
                <w:b w:val="1"/>
                <w:bCs w:val="1"/>
              </w:rPr>
              <w:t xml:space="preserve">CZ-ISCO</w:t>
            </w:r>
          </w:p>
        </w:tc>
        <w:tc>
          <w:tcPr>
            <w:tcW w:w="2000" w:type="dxa"/>
          </w:tcPr>
          <w:p/>
        </w:tc>
        <w:tc>
          <w:tcPr>
            <w:tcW w:w="3000" w:type="dxa"/>
          </w:tcPr>
          <w:p>
            <w:pPr>
              <w:jc w:val="center"/>
            </w:pPr>
            <w:r>
              <w:rPr>
                <w:b w:val="1"/>
                <w:bCs w:val="1"/>
              </w:rPr>
              <w:t xml:space="preserve">Mzdová sféra</w:t>
            </w:r>
          </w:p>
        </w:tc>
        <w:tc>
          <w:tcPr>
            <w:tcW w:w="3000" w:type="dxa"/>
          </w:tcPr>
          <w:p>
            <w:pPr>
              <w:jc w:val="center"/>
            </w:pPr>
            <w:r>
              <w:rPr>
                <w:b w:val="1"/>
                <w:bCs w:val="1"/>
              </w:rPr>
              <w:t xml:space="preserve">Platová sféra</w:t>
            </w:r>
          </w:p>
        </w:tc>
      </w:tr>
      <w:tr>
        <w:trPr/>
        <w:tc>
          <w:tcPr>
            <w:tcW w:w="1000" w:type="dxa"/>
          </w:tcPr>
          <w:p>
            <w:pPr>
              <w:jc w:val="center"/>
            </w:pPr>
            <w:r>
              <w:rPr/>
              <w:t xml:space="preserve">3339</w:t>
            </w:r>
          </w:p>
        </w:tc>
        <w:tc>
          <w:tcPr>
            <w:tcW w:w="2000" w:type="dxa"/>
          </w:tcPr>
          <w:p>
            <w:pPr/>
            <w:r>
              <w:rPr/>
              <w:t xml:space="preserve">Zprostředkovatelé služeb jinde neuvedení</w:t>
            </w:r>
          </w:p>
        </w:tc>
        <w:tc>
          <w:tcPr>
            <w:tcW w:w="1000" w:type="dxa"/>
          </w:tcPr>
          <w:p>
            <w:pPr>
              <w:jc w:val="center"/>
            </w:pPr>
            <w:r>
              <w:rPr/>
              <w:t xml:space="preserve">40 166 Kč</w:t>
            </w:r>
          </w:p>
        </w:tc>
        <w:tc>
          <w:tcPr>
            <w:tcW w:w="1000" w:type="dxa"/>
          </w:tcPr>
          <w:p>
            <w:pPr>
              <w:jc w:val="center"/>
            </w:pPr>
            <w:r>
              <w:rPr/>
              <w:t xml:space="preserve">41 798 Kč</w:t>
            </w:r>
          </w:p>
        </w:tc>
      </w:tr>
      <w:tr>
        <w:trPr/>
        <w:tc>
          <w:tcPr>
            <w:tcW w:w="1000" w:type="dxa"/>
          </w:tcPr>
          <w:p>
            <w:pPr>
              <w:jc w:val="center"/>
            </w:pPr>
            <w:r>
              <w:rPr/>
              <w:t xml:space="preserve">33392</w:t>
            </w:r>
          </w:p>
        </w:tc>
        <w:tc>
          <w:tcPr>
            <w:tcW w:w="2000" w:type="dxa"/>
          </w:tcPr>
          <w:p>
            <w:pPr/>
            <w:r>
              <w:rPr/>
              <w:t xml:space="preserve">Obchodní referenti</w:t>
            </w:r>
          </w:p>
        </w:tc>
        <w:tc>
          <w:tcPr>
            <w:tcW w:w="1000" w:type="dxa"/>
          </w:tcPr>
          <w:p>
            <w:pPr>
              <w:jc w:val="center"/>
            </w:pPr>
            <w:r>
              <w:rPr/>
              <w:t xml:space="preserve">41 174 Kč</w:t>
            </w:r>
          </w:p>
        </w:tc>
        <w:tc>
          <w:tcPr>
            <w:tcW w:w="1000" w:type="dxa"/>
          </w:tcPr>
          <w:p>
            <w:pPr>
              <w:jc w:val="center"/>
            </w:pPr>
            <w:r>
              <w:rPr/>
              <w:t xml:space="preserve">42 027 Kč</w:t>
            </w:r>
          </w:p>
        </w:tc>
      </w:tr>
    </w:tbl>
    <w:p/>
    <w:p>
      <w:pPr>
        <w:pStyle w:val="Heading2"/>
      </w:pPr>
      <w:bookmarkStart w:id="7" w:name="_Toc7"/>
      <w:r>
        <w:t>ESCO</w:t>
      </w:r>
      <w:bookmarkEnd w:id="7"/>
    </w:p>
    <w:tbl>
      <w:tblGrid>
        <w:gridCol w:w="3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jc w:val="center"/>
            </w:pPr>
            <w:r>
              <w:rPr>
                <w:b w:val="1"/>
                <w:bCs w:val="1"/>
              </w:rPr>
              <w:t xml:space="preserve">Kód podskupiny</w:t>
            </w:r>
          </w:p>
        </w:tc>
        <w:tc>
          <w:tcPr>
            <w:tcW w:w="3000" w:type="dxa"/>
          </w:tcPr>
          <w:p>
            <w:pPr>
              <w:jc w:val="center"/>
            </w:pPr>
            <w:r>
              <w:rPr>
                <w:b w:val="1"/>
                <w:bCs w:val="1"/>
              </w:rPr>
              <w:t xml:space="preserve">Název podskupiny v ESCO</w:t>
            </w:r>
          </w:p>
        </w:tc>
        <w:tc>
          <w:tcPr>
            <w:tcW w:w="3000" w:type="dxa"/>
          </w:tcPr>
          <w:p>
            <w:pPr>
              <w:jc w:val="center"/>
            </w:pPr>
            <w:r>
              <w:rPr>
                <w:b w:val="1"/>
                <w:bCs w:val="1"/>
              </w:rPr>
              <w:t xml:space="preserve">URL - podskupiny v ESCO</w:t>
            </w:r>
          </w:p>
        </w:tc>
      </w:tr>
      <w:tr>
        <w:trPr/>
        <w:tc>
          <w:tcPr>
            <w:tcW w:w="3000" w:type="dxa"/>
          </w:tcPr>
          <w:p>
            <w:pPr/>
            <w:r>
              <w:rPr/>
              <w:t xml:space="preserve">3339</w:t>
            </w:r>
          </w:p>
        </w:tc>
        <w:tc>
          <w:tcPr>
            <w:tcW w:w="3000" w:type="dxa"/>
          </w:tcPr>
          <w:p>
            <w:pPr/>
            <w:r>
              <w:rPr/>
              <w:t xml:space="preserve">Zprostředkovatelé služeb jinde neuvedení</w:t>
            </w:r>
          </w:p>
        </w:tc>
        <w:tc>
          <w:tcPr>
            <w:tcW w:w="3000" w:type="dxa"/>
          </w:tcPr>
          <w:p>
            <w:pPr/>
            <w:r>
              <w:rPr/>
              <w:t xml:space="preserve">http://data.europa.eu/esco/isco/C3339</w:t>
            </w:r>
          </w:p>
        </w:tc>
      </w:tr>
    </w:tbl>
    <w:p/>
    <w:p/>
    <w:p/>
    <w:p>
      <w:pPr>
        <w:pStyle w:val="Heading2"/>
      </w:pPr>
      <w:bookmarkStart w:id="8" w:name="_Toc8"/>
      <w:r>
        <w:t>Pracovní podmínky</w:t>
      </w:r>
      <w:bookmarkEnd w:id="8"/>
    </w:p>
    <w:tbl>
      <w:tblGrid>
        <w:gridCol w:w="5000" w:type="dxa"/>
        <w:gridCol w:w="1000" w:type="dxa"/>
        <w:gridCol w:w="1000" w:type="dxa"/>
        <w:gridCol w:w="1000" w:type="dxa"/>
        <w:gridCol w:w="1000" w:type="dxa"/>
      </w:tblGrid>
      <w:tblPr>
        <w:jc w:val="start"/>
        <w:tblW w:w="0" w:type="auto"/>
        <w:tblCellSpacing w:w="50" w:type="dxa"/>
        <w:tblLayout w:type="autofit"/>
        <w:bidiVisual w:val="0"/>
        <w:tblCellMar>
          <w:top w:w="80" w:type="dxa"/>
          <w:left w:w="80" w:type="dxa"/>
          <w:right w:w="80" w:type="dxa"/>
          <w:bottom w:w="80" w:type="dxa"/>
        </w:tblCellMar>
      </w:tblPr>
      <w:tr>
        <w:trPr/>
        <w:tc>
          <w:tcPr>
            <w:tcW w:w="5000" w:type="dxa"/>
          </w:tcPr>
          <w:p>
            <w:pPr>
              <w:jc w:val="center"/>
            </w:pPr>
            <w:r>
              <w:rPr>
                <w:b w:val="1"/>
                <w:bCs w:val="1"/>
              </w:rPr>
              <w:t xml:space="preserve">Název</w:t>
            </w:r>
          </w:p>
        </w:tc>
        <w:tc>
          <w:tcPr>
            <w:tcW w:w="1000" w:type="dxa"/>
          </w:tcPr>
          <w:p>
            <w:pPr>
              <w:jc w:val="center"/>
            </w:pPr>
            <w:r>
              <w:rPr>
                <w:b w:val="1"/>
                <w:bCs w:val="1"/>
              </w:rPr>
              <w:t xml:space="preserve">1</w:t>
            </w:r>
          </w:p>
        </w:tc>
        <w:tc>
          <w:tcPr>
            <w:tcW w:w="1000" w:type="dxa"/>
          </w:tcPr>
          <w:p>
            <w:pPr>
              <w:jc w:val="center"/>
            </w:pPr>
            <w:r>
              <w:rPr>
                <w:b w:val="1"/>
                <w:bCs w:val="1"/>
              </w:rPr>
              <w:t xml:space="preserve">2</w:t>
            </w:r>
          </w:p>
        </w:tc>
        <w:tc>
          <w:tcPr>
            <w:tcW w:w="1000" w:type="dxa"/>
          </w:tcPr>
          <w:p>
            <w:pPr>
              <w:jc w:val="center"/>
            </w:pPr>
            <w:r>
              <w:rPr>
                <w:b w:val="1"/>
                <w:bCs w:val="1"/>
              </w:rPr>
              <w:t xml:space="preserve">3</w:t>
            </w:r>
          </w:p>
        </w:tc>
        <w:tc>
          <w:tcPr>
            <w:tcW w:w="1000" w:type="dxa"/>
          </w:tcPr>
          <w:p>
            <w:pPr>
              <w:jc w:val="center"/>
            </w:pPr>
            <w:r>
              <w:rPr>
                <w:b w:val="1"/>
                <w:bCs w:val="1"/>
              </w:rPr>
              <w:t xml:space="preserve">4</w:t>
            </w:r>
          </w:p>
        </w:tc>
      </w:tr>
      <w:tr>
        <w:trPr/>
        <w:tc>
          <w:tcPr>
            <w:tcW w:w="5000" w:type="dxa"/>
          </w:tcPr>
          <w:p>
            <w:pPr/>
            <w:r>
              <w:rPr/>
              <w:t xml:space="preserve">Zátěž chemickými látkami</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Zraková zátěž</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invazivními alergeny</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biologickými činiteli způsobujícími onemocnění</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ionizujícím zářením</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neionizujícím zářením a elektromagnetickým polem včetně laserů</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Celková fyzická zátěž</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trupu a páteře s převahou statické práce (manipulace s břemeny)</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Lokální zátěž - zátěž malých svalových skupin</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Lokální zátěž jemné motoriky</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prací v omezeném nebo uzavřeném prostoru</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prací v nevhodných pracovních polohách</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Práce ve výškách</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Duševní zátěž</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Zvýšené riziko úrazu pracovníka</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Zvýšené riziko obecného ohrožení</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Pracovní doba, směnnost</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teplem</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chladem</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hlukem</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vibracemi</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prachem</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bl>
    <w:p/>
    <w:p>
      <w:pPr/>
      <w:r>
        <w:rPr>
          <w:sz w:val="16"/>
          <w:szCs w:val="16"/>
          <w:i w:val="1"/>
          <w:iCs w:val="1"/>
        </w:rPr>
        <w:t xml:space="preserve">Legenda:</w:t>
      </w:r>
    </w:p>
    <w:p>
      <w:pPr>
        <w:numPr>
          <w:ilvl w:val="0"/>
          <w:numId w:val="5"/>
        </w:numPr>
      </w:pPr>
      <w:r>
        <w:rPr>
          <w:sz w:val="16"/>
          <w:szCs w:val="16"/>
          <w:i w:val="1"/>
          <w:iCs w:val="1"/>
        </w:rPr>
        <w:t xml:space="preserve">1. Stupeň zátěže (minimální zdravotní riziko) - Faktor se při výkonu práce nevyskytuje nebo je zátěž faktorem minimální, vliv faktoru je ze zdravotního hlediska nevýznamný.</w:t>
      </w:r>
    </w:p>
    <w:p>
      <w:pPr>
        <w:numPr>
          <w:ilvl w:val="0"/>
          <w:numId w:val="5"/>
        </w:numPr>
      </w:pPr>
      <w:r>
        <w:rPr>
          <w:sz w:val="16"/>
          <w:szCs w:val="16"/>
          <w:i w:val="1"/>
          <w:iCs w:val="1"/>
        </w:rPr>
        <w:t xml:space="preserve">2. Stupeň zátěže (únosná míra zdravotního rizika) - Ze zdravotního hlediska je míra zátěže faktorem únosná, nepřekračuje limity stanovené předpisy, vliv faktoru je akceptovatelný pro zdravého člověka.</w:t>
      </w:r>
    </w:p>
    <w:p>
      <w:pPr>
        <w:numPr>
          <w:ilvl w:val="0"/>
          <w:numId w:val="5"/>
        </w:numPr>
      </w:pPr>
      <w:r>
        <w:rPr>
          <w:sz w:val="16"/>
          <w:szCs w:val="16"/>
          <w:i w:val="1"/>
          <w:iCs w:val="1"/>
        </w:rPr>
        <w:t xml:space="preserve">3. Stupeň zátěže (významná míra zdravotního rizika) - Úroveň zátěže překračuje stanovené limitní hodnoty expozice (zátěže), na pracovištích je nutná realizace náhradních technických a organizačních opatření, nelze vyloučit negativní vliv na zdraví pracovníků.</w:t>
      </w:r>
    </w:p>
    <w:p>
      <w:pPr>
        <w:numPr>
          <w:ilvl w:val="0"/>
          <w:numId w:val="5"/>
        </w:numPr>
      </w:pPr>
      <w:r>
        <w:rPr>
          <w:sz w:val="16"/>
          <w:szCs w:val="16"/>
          <w:i w:val="1"/>
          <w:iCs w:val="1"/>
        </w:rPr>
        <w:t xml:space="preserve">4. Stupeň zátěže (vysoká míra zdravotního rizika) - Úroveň zátěže vysoce překračuje stanovené limitní hodnoty expozice, na pracovištích musí být dodržován soubor preventivních opatření, častěji dochází k poškození zdraví.</w:t>
      </w:r>
    </w:p>
    <w:p/>
    <w:p/>
    <w:p>
      <w:pPr>
        <w:pStyle w:val="Heading2"/>
      </w:pPr>
      <w:bookmarkStart w:id="9" w:name="_Toc9"/>
      <w:r>
        <w:t>Kvalifikace k výkonu povolání</w:t>
      </w:r>
      <w:bookmarkEnd w:id="9"/>
    </w:p>
    <w:p>
      <w:pPr>
        <w:pStyle w:val="Heading3"/>
      </w:pPr>
      <w:bookmarkStart w:id="10" w:name="_Toc10"/>
      <w:r>
        <w:t>Školní vzdělání</w:t>
      </w:r>
      <w:bookmarkEnd w:id="10"/>
    </w:p>
    <w:p/>
    <w:p>
      <w:pPr>
        <w:pStyle w:val="Heading4"/>
      </w:pPr>
      <w:bookmarkStart w:id="11" w:name="_Toc11"/>
      <w:r>
        <w:t>Nejvhodnější školní přípravu poskytují obory:</w:t>
      </w:r>
      <w:bookmarkEnd w:id="11"/>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maturitní zkouškou (bez vyučení) v oboru aplikovaná chemie</w:t>
            </w:r>
          </w:p>
        </w:tc>
        <w:tc>
          <w:tcPr>
            <w:tcW w:w="2000" w:type="dxa"/>
          </w:tcPr>
          <w:p>
            <w:pPr>
              <w:jc w:val="center"/>
            </w:pPr>
            <w:r>
              <w:rPr/>
              <w:t xml:space="preserve">2844M</w:t>
            </w:r>
          </w:p>
        </w:tc>
      </w:tr>
      <w:tr>
        <w:trPr/>
        <w:tc>
          <w:tcPr>
            <w:tcW w:w="2000" w:type="dxa"/>
          </w:tcPr>
          <w:p>
            <w:pPr>
              <w:jc w:val="center"/>
            </w:pPr>
            <w:r>
              <w:rPr/>
              <w:t xml:space="preserve">RVP</w:t>
            </w:r>
          </w:p>
        </w:tc>
        <w:tc>
          <w:tcPr>
            <w:tcW w:w="5000" w:type="dxa"/>
          </w:tcPr>
          <w:p>
            <w:pPr/>
            <w:r>
              <w:rPr/>
              <w:t xml:space="preserve">Chemik operátor</w:t>
            </w:r>
          </w:p>
        </w:tc>
        <w:tc>
          <w:tcPr>
            <w:tcW w:w="2000" w:type="dxa"/>
          </w:tcPr>
          <w:p>
            <w:pPr>
              <w:jc w:val="center"/>
            </w:pPr>
            <w:r>
              <w:rPr/>
              <w:t xml:space="preserve">28-42-L/01</w:t>
            </w:r>
          </w:p>
        </w:tc>
      </w:tr>
      <w:tr>
        <w:trPr/>
        <w:tc>
          <w:tcPr>
            <w:tcW w:w="2000" w:type="dxa"/>
          </w:tcPr>
          <w:p>
            <w:pPr>
              <w:jc w:val="center"/>
            </w:pPr>
            <w:r>
              <w:rPr/>
              <w:t xml:space="preserve">RVP</w:t>
            </w:r>
          </w:p>
        </w:tc>
        <w:tc>
          <w:tcPr>
            <w:tcW w:w="5000" w:type="dxa"/>
          </w:tcPr>
          <w:p>
            <w:pPr/>
            <w:r>
              <w:rPr/>
              <w:t xml:space="preserve">Aplikovaná chemie</w:t>
            </w:r>
          </w:p>
        </w:tc>
        <w:tc>
          <w:tcPr>
            <w:tcW w:w="2000" w:type="dxa"/>
          </w:tcPr>
          <w:p>
            <w:pPr>
              <w:jc w:val="center"/>
            </w:pPr>
            <w:r>
              <w:rPr/>
              <w:t xml:space="preserve">28-44-M/01</w:t>
            </w:r>
          </w:p>
        </w:tc>
      </w:tr>
    </w:tbl>
    <w:p/>
    <w:p>
      <w:pPr>
        <w:pStyle w:val="Heading4"/>
      </w:pPr>
      <w:bookmarkStart w:id="12" w:name="_Toc12"/>
      <w:r>
        <w:t>Vhodnou školní přípravu poskytují také obory:</w:t>
      </w:r>
      <w:bookmarkEnd w:id="12"/>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maturitní zkouškou (bez vyučení) v oboru analytická chemie aplikovaná</w:t>
            </w:r>
          </w:p>
        </w:tc>
        <w:tc>
          <w:tcPr>
            <w:tcW w:w="2000" w:type="dxa"/>
          </w:tcPr>
          <w:p>
            <w:pPr>
              <w:jc w:val="center"/>
            </w:pPr>
            <w:r>
              <w:rPr/>
              <w:t xml:space="preserve">2843M</w:t>
            </w:r>
          </w:p>
        </w:tc>
      </w:tr>
      <w:tr>
        <w:trPr/>
        <w:tc>
          <w:tcPr>
            <w:tcW w:w="2000" w:type="dxa"/>
          </w:tcPr>
          <w:p>
            <w:pPr>
              <w:jc w:val="center"/>
            </w:pPr>
            <w:r>
              <w:rPr/>
              <w:t xml:space="preserve">KKOV</w:t>
            </w:r>
          </w:p>
        </w:tc>
        <w:tc>
          <w:tcPr>
            <w:tcW w:w="5000" w:type="dxa"/>
          </w:tcPr>
          <w:p>
            <w:pPr/>
            <w:r>
              <w:rPr/>
              <w:t xml:space="preserve">Střední vzdělání s maturitní zkouškou v oboru průmyslová chemie</w:t>
            </w:r>
          </w:p>
        </w:tc>
        <w:tc>
          <w:tcPr>
            <w:tcW w:w="2000" w:type="dxa"/>
          </w:tcPr>
          <w:p>
            <w:pPr>
              <w:jc w:val="center"/>
            </w:pPr>
            <w:r>
              <w:rPr/>
              <w:t xml:space="preserve">2842L</w:t>
            </w:r>
          </w:p>
        </w:tc>
      </w:tr>
      <w:tr>
        <w:trPr/>
        <w:tc>
          <w:tcPr>
            <w:tcW w:w="2000" w:type="dxa"/>
          </w:tcPr>
          <w:p>
            <w:pPr>
              <w:jc w:val="center"/>
            </w:pPr>
            <w:r>
              <w:rPr/>
              <w:t xml:space="preserve">KKOV</w:t>
            </w:r>
          </w:p>
        </w:tc>
        <w:tc>
          <w:tcPr>
            <w:tcW w:w="5000" w:type="dxa"/>
          </w:tcPr>
          <w:p>
            <w:pPr/>
            <w:r>
              <w:rPr/>
              <w:t xml:space="preserve">Střední vzdělání s maturitní zkouškou (bez vyučení) v oboru ekonomika a podnikání</w:t>
            </w:r>
          </w:p>
        </w:tc>
        <w:tc>
          <w:tcPr>
            <w:tcW w:w="2000" w:type="dxa"/>
          </w:tcPr>
          <w:p>
            <w:pPr>
              <w:jc w:val="center"/>
            </w:pPr>
            <w:r>
              <w:rPr/>
              <w:t xml:space="preserve">6341M</w:t>
            </w:r>
          </w:p>
        </w:tc>
      </w:tr>
      <w:tr>
        <w:trPr/>
        <w:tc>
          <w:tcPr>
            <w:tcW w:w="2000" w:type="dxa"/>
          </w:tcPr>
          <w:p>
            <w:pPr>
              <w:jc w:val="center"/>
            </w:pPr>
            <w:r>
              <w:rPr/>
              <w:t xml:space="preserve">KKOV</w:t>
            </w:r>
          </w:p>
        </w:tc>
        <w:tc>
          <w:tcPr>
            <w:tcW w:w="5000" w:type="dxa"/>
          </w:tcPr>
          <w:p>
            <w:pPr/>
            <w:r>
              <w:rPr/>
              <w:t xml:space="preserve">Střední vzdělání s maturitní zkouškou (bez vyučení) v oboru ekonomika odvětví (oborů)</w:t>
            </w:r>
          </w:p>
        </w:tc>
        <w:tc>
          <w:tcPr>
            <w:tcW w:w="2000" w:type="dxa"/>
          </w:tcPr>
          <w:p>
            <w:pPr>
              <w:jc w:val="center"/>
            </w:pPr>
            <w:r>
              <w:rPr/>
              <w:t xml:space="preserve">6443M</w:t>
            </w:r>
          </w:p>
        </w:tc>
      </w:tr>
      <w:tr>
        <w:trPr/>
        <w:tc>
          <w:tcPr>
            <w:tcW w:w="2000" w:type="dxa"/>
          </w:tcPr>
          <w:p>
            <w:pPr>
              <w:jc w:val="center"/>
            </w:pPr>
            <w:r>
              <w:rPr/>
              <w:t xml:space="preserve">KKOV</w:t>
            </w:r>
          </w:p>
        </w:tc>
        <w:tc>
          <w:tcPr>
            <w:tcW w:w="5000" w:type="dxa"/>
          </w:tcPr>
          <w:p>
            <w:pPr/>
            <w:r>
              <w:rPr/>
              <w:t xml:space="preserve">Střední vzdělání s maturitní zkouškou (bez vyučení) ve skupině oborů technická chemie a chemie silikátů</w:t>
            </w:r>
          </w:p>
        </w:tc>
        <w:tc>
          <w:tcPr>
            <w:tcW w:w="2000" w:type="dxa"/>
          </w:tcPr>
          <w:p>
            <w:pPr>
              <w:jc w:val="center"/>
            </w:pPr>
            <w:r>
              <w:rPr/>
              <w:t xml:space="preserve">28xxM</w:t>
            </w:r>
          </w:p>
        </w:tc>
      </w:tr>
      <w:tr>
        <w:trPr/>
        <w:tc>
          <w:tcPr>
            <w:tcW w:w="2000" w:type="dxa"/>
          </w:tcPr>
          <w:p>
            <w:pPr>
              <w:jc w:val="center"/>
            </w:pPr>
            <w:r>
              <w:rPr/>
              <w:t xml:space="preserve">KKOV</w:t>
            </w:r>
          </w:p>
        </w:tc>
        <w:tc>
          <w:tcPr>
            <w:tcW w:w="5000" w:type="dxa"/>
          </w:tcPr>
          <w:p>
            <w:pPr/>
            <w:r>
              <w:rPr/>
              <w:t xml:space="preserve">Střední vzdělání s maturitní zkouškou ve skupině oborů technická chemie a chemie silikátů</w:t>
            </w:r>
          </w:p>
        </w:tc>
        <w:tc>
          <w:tcPr>
            <w:tcW w:w="2000" w:type="dxa"/>
          </w:tcPr>
          <w:p>
            <w:pPr>
              <w:jc w:val="center"/>
            </w:pPr>
            <w:r>
              <w:rPr/>
              <w:t xml:space="preserve">28xxL</w:t>
            </w:r>
          </w:p>
        </w:tc>
      </w:tr>
      <w:tr>
        <w:trPr/>
        <w:tc>
          <w:tcPr>
            <w:tcW w:w="2000" w:type="dxa"/>
          </w:tcPr>
          <w:p>
            <w:pPr>
              <w:jc w:val="center"/>
            </w:pPr>
            <w:r>
              <w:rPr/>
              <w:t xml:space="preserve">KKOV</w:t>
            </w:r>
          </w:p>
        </w:tc>
        <w:tc>
          <w:tcPr>
            <w:tcW w:w="5000" w:type="dxa"/>
          </w:tcPr>
          <w:p>
            <w:pPr/>
            <w:r>
              <w:rPr/>
              <w:t xml:space="preserve">Střední vzdělání s maturitní zkouškou (bez vyučení) ve skupině oborů ekonomika a administrativa</w:t>
            </w:r>
          </w:p>
        </w:tc>
        <w:tc>
          <w:tcPr>
            <w:tcW w:w="2000" w:type="dxa"/>
          </w:tcPr>
          <w:p>
            <w:pPr>
              <w:jc w:val="center"/>
            </w:pPr>
            <w:r>
              <w:rPr/>
              <w:t xml:space="preserve">63xxM</w:t>
            </w:r>
          </w:p>
        </w:tc>
      </w:tr>
      <w:tr>
        <w:trPr/>
        <w:tc>
          <w:tcPr>
            <w:tcW w:w="2000" w:type="dxa"/>
          </w:tcPr>
          <w:p>
            <w:pPr>
              <w:jc w:val="center"/>
            </w:pPr>
            <w:r>
              <w:rPr/>
              <w:t xml:space="preserve">KKOV</w:t>
            </w:r>
          </w:p>
        </w:tc>
        <w:tc>
          <w:tcPr>
            <w:tcW w:w="5000" w:type="dxa"/>
          </w:tcPr>
          <w:p>
            <w:pPr/>
            <w:r>
              <w:rPr/>
              <w:t xml:space="preserve">Střední vzdělání s maturitní zkouškou ve skupině oborů ekonomika a administrativa</w:t>
            </w:r>
          </w:p>
        </w:tc>
        <w:tc>
          <w:tcPr>
            <w:tcW w:w="2000" w:type="dxa"/>
          </w:tcPr>
          <w:p>
            <w:pPr>
              <w:jc w:val="center"/>
            </w:pPr>
            <w:r>
              <w:rPr/>
              <w:t xml:space="preserve">63xxL</w:t>
            </w:r>
          </w:p>
        </w:tc>
      </w:tr>
      <w:tr>
        <w:trPr/>
        <w:tc>
          <w:tcPr>
            <w:tcW w:w="2000" w:type="dxa"/>
          </w:tcPr>
          <w:p>
            <w:pPr>
              <w:jc w:val="center"/>
            </w:pPr>
            <w:r>
              <w:rPr/>
              <w:t xml:space="preserve">RVP</w:t>
            </w:r>
          </w:p>
        </w:tc>
        <w:tc>
          <w:tcPr>
            <w:tcW w:w="5000" w:type="dxa"/>
          </w:tcPr>
          <w:p>
            <w:pPr/>
            <w:r>
              <w:rPr/>
              <w:t xml:space="preserve">Chemik operátor</w:t>
            </w:r>
          </w:p>
        </w:tc>
        <w:tc>
          <w:tcPr>
            <w:tcW w:w="2000" w:type="dxa"/>
          </w:tcPr>
          <w:p>
            <w:pPr>
              <w:jc w:val="center"/>
            </w:pPr>
            <w:r>
              <w:rPr/>
              <w:t xml:space="preserve">28-42-L/51</w:t>
            </w:r>
          </w:p>
        </w:tc>
      </w:tr>
    </w:tbl>
    <w:p/>
    <w:p>
      <w:pPr>
        <w:pStyle w:val="Heading3"/>
      </w:pPr>
      <w:bookmarkStart w:id="13" w:name="_Toc13"/>
      <w:r>
        <w:t>Další vzdělání</w:t>
      </w:r>
      <w:bookmarkEnd w:id="13"/>
    </w:p>
    <w:p>
      <w:pPr>
        <w:pStyle w:val="Heading4"/>
      </w:pPr>
      <w:bookmarkStart w:id="14" w:name="_Toc14"/>
      <w:r>
        <w:t>Profesní kvalifikace</w:t>
      </w:r>
      <w:bookmarkEnd w:id="14"/>
    </w:p>
    <w:p>
      <w:pPr>
        <w:numPr>
          <w:ilvl w:val="0"/>
          <w:numId w:val="5"/>
        </w:numPr>
      </w:pPr>
      <w:r>
        <w:rPr/>
        <w:t xml:space="preserve">Chemický technik produktmanažer / chemická technička produktmanažerka (28-049-M)</w:t>
      </w:r>
    </w:p>
    <w:p/>
    <w:p>
      <w:pPr>
        <w:pStyle w:val="Heading3"/>
      </w:pPr>
      <w:bookmarkStart w:id="15" w:name="_Toc15"/>
      <w:r>
        <w:t>Legislativní požadavky</w:t>
      </w:r>
      <w:bookmarkEnd w:id="15"/>
    </w:p>
    <w:p>
      <w:pPr>
        <w:numPr>
          <w:ilvl w:val="0"/>
          <w:numId w:val="5"/>
        </w:numPr>
      </w:pPr>
      <w:r>
        <w:rPr/>
        <w:t xml:space="preserve">doporučené - Odborná způsobilost podle zákona č. 350/2011 Sb., o chemických látkách a chemických směsích a o změně některých zákonů</w:t>
      </w:r>
    </w:p>
    <w:p/>
    <w:p/>
    <w:p>
      <w:pPr>
        <w:pStyle w:val="Heading2"/>
      </w:pPr>
      <w:bookmarkStart w:id="16" w:name="_Toc16"/>
      <w:r>
        <w:t>Kompetenční požadavky</w:t>
      </w:r>
      <w:bookmarkEnd w:id="16"/>
    </w:p>
    <w:p>
      <w:pPr>
        <w:pStyle w:val="Heading3"/>
      </w:pPr>
      <w:bookmarkStart w:id="17" w:name="_Toc17"/>
      <w:r>
        <w:t>Odborné dovednosti</w:t>
      </w:r>
      <w:bookmarkEnd w:id="17"/>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h11.D.8211</w:t>
            </w:r>
          </w:p>
        </w:tc>
        <w:tc>
          <w:tcPr>
            <w:tcW w:w="3000" w:type="dxa"/>
          </w:tcPr>
          <w:p>
            <w:pPr/>
            <w:r>
              <w:rPr/>
              <w:t xml:space="preserve">Příprava podkladů pro uzavírání obchodních smluv, popř. objednávek s obchodními partnery</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h14.D.8012</w:t>
            </w:r>
          </w:p>
        </w:tc>
        <w:tc>
          <w:tcPr>
            <w:tcW w:w="3000" w:type="dxa"/>
          </w:tcPr>
          <w:p>
            <w:pPr/>
            <w:r>
              <w:rPr/>
              <w:t xml:space="preserve">Vedení požadovaných evidencí (evidence objednávek, zákazníků, vedení dokumentace a podkladů pro účetnictví apod.)</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h13.D.1311</w:t>
            </w:r>
          </w:p>
        </w:tc>
        <w:tc>
          <w:tcPr>
            <w:tcW w:w="3000" w:type="dxa"/>
          </w:tcPr>
          <w:p>
            <w:pPr/>
            <w:r>
              <w:rPr/>
              <w:t xml:space="preserve">Kompletace a vybavování zásilek průvodní dokumentací pro odběratele, přepravce a celní a jiné orgány</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h13.D.5400</w:t>
            </w:r>
          </w:p>
        </w:tc>
        <w:tc>
          <w:tcPr>
            <w:tcW w:w="3000" w:type="dxa"/>
          </w:tcPr>
          <w:p>
            <w:pPr/>
            <w:r>
              <w:rPr/>
              <w:t xml:space="preserve">Kalkulace cen, příprava podkladů pro fakturaci</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h13.D.8311</w:t>
            </w:r>
          </w:p>
        </w:tc>
        <w:tc>
          <w:tcPr>
            <w:tcW w:w="3000" w:type="dxa"/>
          </w:tcPr>
          <w:p>
            <w:pPr/>
            <w:r>
              <w:rPr/>
              <w:t xml:space="preserve">Vedení požadovaných evidencí (dokumentace a podklady pro účetnictví, pro přepravce apod.)</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h13.D.3312</w:t>
            </w:r>
          </w:p>
        </w:tc>
        <w:tc>
          <w:tcPr>
            <w:tcW w:w="3000" w:type="dxa"/>
          </w:tcPr>
          <w:p>
            <w:pPr/>
            <w:r>
              <w:rPr/>
              <w:t xml:space="preserve">Kontrola správnosti účetních dokladů (faktury, dodací listy), ale i všech ostatních podkladů v expedici vystavovaných nebo přijímaných</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h11.C.2221</w:t>
            </w:r>
          </w:p>
        </w:tc>
        <w:tc>
          <w:tcPr>
            <w:tcW w:w="3000" w:type="dxa"/>
          </w:tcPr>
          <w:p>
            <w:pPr/>
            <w:r>
              <w:rPr/>
              <w:t xml:space="preserve">Projednávání běžných záležitostí s obchodními partnery včetně reklamačního řízení</w:t>
            </w:r>
          </w:p>
        </w:tc>
        <w:tc>
          <w:tcPr>
            <w:tcW w:w="2000" w:type="dxa"/>
          </w:tcPr>
          <w:p>
            <w:pPr>
              <w:jc w:val="center"/>
            </w:pPr>
            <w:r>
              <w:rPr/>
              <w:t xml:space="preserve">4</w:t>
            </w:r>
          </w:p>
        </w:tc>
        <w:tc>
          <w:tcPr>
            <w:tcW w:w="2000" w:type="dxa"/>
          </w:tcPr>
          <w:p>
            <w:pPr>
              <w:jc w:val="center"/>
            </w:pPr>
            <w:r>
              <w:rPr/>
              <w:t xml:space="preserve">Výhodné</w:t>
            </w:r>
          </w:p>
        </w:tc>
      </w:tr>
      <w:tr>
        <w:trPr/>
        <w:tc>
          <w:tcPr>
            <w:tcW w:w="2000" w:type="dxa"/>
          </w:tcPr>
          <w:p>
            <w:pPr>
              <w:jc w:val="center"/>
            </w:pPr>
            <w:r>
              <w:rPr/>
              <w:t xml:space="preserve">h11.C.2225</w:t>
            </w:r>
          </w:p>
        </w:tc>
        <w:tc>
          <w:tcPr>
            <w:tcW w:w="3000" w:type="dxa"/>
          </w:tcPr>
          <w:p>
            <w:pPr/>
            <w:r>
              <w:rPr/>
              <w:t xml:space="preserve">Zařizování realizace zakázek včetně přepravy dovozních a vývozních zásilek</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e52.D.1971</w:t>
            </w:r>
          </w:p>
        </w:tc>
        <w:tc>
          <w:tcPr>
            <w:tcW w:w="3000" w:type="dxa"/>
          </w:tcPr>
          <w:p>
            <w:pPr/>
            <w:r>
              <w:rPr/>
              <w:t xml:space="preserve">Orientace v technické dokumentaci a ve značení chemických látek</w:t>
            </w:r>
          </w:p>
        </w:tc>
        <w:tc>
          <w:tcPr>
            <w:tcW w:w="2000" w:type="dxa"/>
          </w:tcPr>
          <w:p>
            <w:pPr>
              <w:jc w:val="center"/>
            </w:pPr>
            <w:r>
              <w:rPr/>
              <w:t xml:space="preserve">7</w:t>
            </w:r>
          </w:p>
        </w:tc>
        <w:tc>
          <w:tcPr>
            <w:tcW w:w="2000" w:type="dxa"/>
          </w:tcPr>
          <w:p>
            <w:pPr>
              <w:jc w:val="center"/>
            </w:pPr>
            <w:r>
              <w:rPr/>
              <w:t xml:space="preserve">Nutné</w:t>
            </w:r>
          </w:p>
        </w:tc>
      </w:tr>
      <w:tr>
        <w:trPr/>
        <w:tc>
          <w:tcPr>
            <w:tcW w:w="2000" w:type="dxa"/>
          </w:tcPr>
          <w:p>
            <w:pPr>
              <w:jc w:val="center"/>
            </w:pPr>
            <w:r>
              <w:rPr/>
              <w:t xml:space="preserve">e52.D.1970</w:t>
            </w:r>
          </w:p>
        </w:tc>
        <w:tc>
          <w:tcPr>
            <w:tcW w:w="3000" w:type="dxa"/>
          </w:tcPr>
          <w:p>
            <w:pPr/>
            <w:r>
              <w:rPr/>
              <w:t xml:space="preserve">Orientace v legislativě související s chemickou výrobou</w:t>
            </w:r>
          </w:p>
        </w:tc>
        <w:tc>
          <w:tcPr>
            <w:tcW w:w="2000" w:type="dxa"/>
          </w:tcPr>
          <w:p>
            <w:pPr>
              <w:jc w:val="center"/>
            </w:pPr>
            <w:r>
              <w:rPr/>
              <w:t xml:space="preserve">6</w:t>
            </w:r>
          </w:p>
        </w:tc>
        <w:tc>
          <w:tcPr>
            <w:tcW w:w="2000" w:type="dxa"/>
          </w:tcPr>
          <w:p>
            <w:pPr>
              <w:jc w:val="center"/>
            </w:pPr>
            <w:r>
              <w:rPr/>
              <w:t xml:space="preserve">Nutné</w:t>
            </w:r>
          </w:p>
        </w:tc>
      </w:tr>
      <w:tr>
        <w:trPr/>
        <w:tc>
          <w:tcPr>
            <w:tcW w:w="2000" w:type="dxa"/>
          </w:tcPr>
          <w:p>
            <w:pPr>
              <w:jc w:val="center"/>
            </w:pPr>
            <w:r>
              <w:rPr/>
              <w:t xml:space="preserve">e52.D.9001</w:t>
            </w:r>
          </w:p>
        </w:tc>
        <w:tc>
          <w:tcPr>
            <w:tcW w:w="3000" w:type="dxa"/>
          </w:tcPr>
          <w:p>
            <w:pPr/>
            <w:r>
              <w:rPr/>
              <w:t xml:space="preserve">Příprava dat a dalších podkladů pro prezentace chemického produktu</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e52.D.8034</w:t>
            </w:r>
          </w:p>
        </w:tc>
        <w:tc>
          <w:tcPr>
            <w:tcW w:w="3000" w:type="dxa"/>
          </w:tcPr>
          <w:p>
            <w:pPr/>
            <w:r>
              <w:rPr/>
              <w:t xml:space="preserve">Administrativní a technická podpora pracovníků prodeje chemických produktů</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e52.D.8035</w:t>
            </w:r>
          </w:p>
        </w:tc>
        <w:tc>
          <w:tcPr>
            <w:tcW w:w="3000" w:type="dxa"/>
          </w:tcPr>
          <w:p>
            <w:pPr/>
            <w:r>
              <w:rPr/>
              <w:t xml:space="preserve">Zpracování technické dokumentace k zadání chemicko-technologické specifikace zákazníkem požadovaného produktu technickému a výrobnímu útvaru</w:t>
            </w:r>
          </w:p>
        </w:tc>
        <w:tc>
          <w:tcPr>
            <w:tcW w:w="2000" w:type="dxa"/>
          </w:tcPr>
          <w:p>
            <w:pPr>
              <w:jc w:val="center"/>
            </w:pPr>
            <w:r>
              <w:rPr/>
              <w:t xml:space="preserve">4</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8" w:name="_Toc18"/>
      <w:r>
        <w:t>Odborné znalosti</w:t>
      </w:r>
      <w:bookmarkEnd w:id="18"/>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j14._.0001</w:t>
            </w:r>
          </w:p>
        </w:tc>
        <w:tc>
          <w:tcPr>
            <w:tcW w:w="3000" w:type="dxa"/>
          </w:tcPr>
          <w:p>
            <w:pPr/>
            <w:r>
              <w:rPr/>
              <w:t xml:space="preserve">anorganická chemie</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j14._.0002</w:t>
            </w:r>
          </w:p>
        </w:tc>
        <w:tc>
          <w:tcPr>
            <w:tcW w:w="3000" w:type="dxa"/>
          </w:tcPr>
          <w:p>
            <w:pPr/>
            <w:r>
              <w:rPr/>
              <w:t xml:space="preserve">organická chemie</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h14._.0099</w:t>
            </w:r>
          </w:p>
        </w:tc>
        <w:tc>
          <w:tcPr>
            <w:tcW w:w="3000" w:type="dxa"/>
          </w:tcPr>
          <w:p>
            <w:pPr/>
            <w:r>
              <w:rPr/>
              <w:t xml:space="preserve">zbožíznalství speciálních výrobků</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h13._.0060</w:t>
            </w:r>
          </w:p>
        </w:tc>
        <w:tc>
          <w:tcPr>
            <w:tcW w:w="3000" w:type="dxa"/>
          </w:tcPr>
          <w:p>
            <w:pPr/>
            <w:r>
              <w:rPr/>
              <w:t xml:space="preserve">dodací podmínky INCOTERMS</w:t>
            </w:r>
          </w:p>
        </w:tc>
        <w:tc>
          <w:tcPr>
            <w:tcW w:w="2000" w:type="dxa"/>
          </w:tcPr>
          <w:p>
            <w:pPr>
              <w:jc w:val="center"/>
            </w:pPr>
            <w:r>
              <w:rPr/>
              <w:t xml:space="preserve">4</w:t>
            </w:r>
          </w:p>
        </w:tc>
        <w:tc>
          <w:tcPr>
            <w:tcW w:w="2000" w:type="dxa"/>
          </w:tcPr>
          <w:p>
            <w:pPr>
              <w:jc w:val="center"/>
            </w:pPr>
            <w:r>
              <w:rPr/>
              <w:t xml:space="preserve">Výhodné</w:t>
            </w:r>
          </w:p>
        </w:tc>
      </w:tr>
      <w:tr>
        <w:trPr/>
        <w:tc>
          <w:tcPr>
            <w:tcW w:w="2000" w:type="dxa"/>
          </w:tcPr>
          <w:p>
            <w:pPr>
              <w:jc w:val="center"/>
            </w:pPr>
            <w:r>
              <w:rPr/>
              <w:t xml:space="preserve">i31._.0022</w:t>
            </w:r>
          </w:p>
        </w:tc>
        <w:tc>
          <w:tcPr>
            <w:tcW w:w="3000" w:type="dxa"/>
          </w:tcPr>
          <w:p>
            <w:pPr/>
            <w:r>
              <w:rPr/>
              <w:t xml:space="preserve">úřední a obchodní korespondence v angličtině</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i31._.0021</w:t>
            </w:r>
          </w:p>
        </w:tc>
        <w:tc>
          <w:tcPr>
            <w:tcW w:w="3000" w:type="dxa"/>
          </w:tcPr>
          <w:p>
            <w:pPr/>
            <w:r>
              <w:rPr/>
              <w:t xml:space="preserve">náležitosti úřední a obchodní korespondence</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h13._.0024</w:t>
            </w:r>
          </w:p>
        </w:tc>
        <w:tc>
          <w:tcPr>
            <w:tcW w:w="3000" w:type="dxa"/>
          </w:tcPr>
          <w:p>
            <w:pPr/>
            <w:r>
              <w:rPr/>
              <w:t xml:space="preserve">postupy při reklamacích, práva spotřebitele</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i32._.0001</w:t>
            </w:r>
          </w:p>
        </w:tc>
        <w:tc>
          <w:tcPr>
            <w:tcW w:w="3000" w:type="dxa"/>
          </w:tcPr>
          <w:p>
            <w:pPr/>
            <w:r>
              <w:rPr/>
              <w:t xml:space="preserve">ekonomika podnikatelského subjektu obecně</w:t>
            </w:r>
          </w:p>
        </w:tc>
        <w:tc>
          <w:tcPr>
            <w:tcW w:w="2000" w:type="dxa"/>
          </w:tcPr>
          <w:p>
            <w:pPr>
              <w:jc w:val="center"/>
            </w:pPr>
            <w:r>
              <w:rPr/>
              <w:t xml:space="preserve">4</w:t>
            </w:r>
          </w:p>
        </w:tc>
        <w:tc>
          <w:tcPr>
            <w:tcW w:w="2000" w:type="dxa"/>
          </w:tcPr>
          <w:p>
            <w:pPr>
              <w:jc w:val="center"/>
            </w:pPr>
            <w:r>
              <w:rPr/>
              <w:t xml:space="preserve">Výhodné</w:t>
            </w:r>
          </w:p>
        </w:tc>
      </w:tr>
      <w:tr>
        <w:trPr/>
        <w:tc>
          <w:tcPr>
            <w:tcW w:w="2000" w:type="dxa"/>
          </w:tcPr>
          <w:p>
            <w:pPr>
              <w:jc w:val="center"/>
            </w:pPr>
            <w:r>
              <w:rPr/>
              <w:t xml:space="preserve">h11._.0022</w:t>
            </w:r>
          </w:p>
        </w:tc>
        <w:tc>
          <w:tcPr>
            <w:tcW w:w="3000" w:type="dxa"/>
          </w:tcPr>
          <w:p>
            <w:pPr/>
            <w:r>
              <w:rPr/>
              <w:t xml:space="preserve">obchodní vyjednávání</w:t>
            </w:r>
          </w:p>
        </w:tc>
        <w:tc>
          <w:tcPr>
            <w:tcW w:w="2000" w:type="dxa"/>
          </w:tcPr>
          <w:p>
            <w:pPr>
              <w:jc w:val="center"/>
            </w:pPr>
            <w:r>
              <w:rPr/>
              <w:t xml:space="preserve">4</w:t>
            </w:r>
          </w:p>
        </w:tc>
        <w:tc>
          <w:tcPr>
            <w:tcW w:w="2000" w:type="dxa"/>
          </w:tcPr>
          <w:p>
            <w:pPr>
              <w:jc w:val="center"/>
            </w:pPr>
            <w:r>
              <w:rPr/>
              <w:t xml:space="preserve">Výhodné</w:t>
            </w:r>
          </w:p>
        </w:tc>
      </w:tr>
    </w:tbl>
    <w:p>
      <w:pPr/>
      <w:r>
        <w:rPr>
          <w:sz w:val="16"/>
          <w:szCs w:val="16"/>
          <w:i w:val="1"/>
          <w:iCs w:val="1"/>
        </w:rPr>
        <w:t xml:space="preserve">Popisy úrovní naleznete zde: https://nsp.cz/downloads/Priloha_c2_manualu.pdf</w:t>
      </w:r>
    </w:p>
    <w:p/>
    <w:p>
      <w:pPr>
        <w:pStyle w:val="Heading3"/>
      </w:pPr>
      <w:bookmarkStart w:id="19" w:name="_Toc19"/>
      <w:r>
        <w:t>Obecné dovednosti</w:t>
      </w:r>
      <w:bookmarkEnd w:id="19"/>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0-3</w:t>
            </w:r>
          </w:p>
        </w:tc>
      </w:tr>
      <w:tr>
        <w:trPr/>
        <w:tc>
          <w:tcPr>
            <w:tcW w:w="2000" w:type="dxa"/>
          </w:tcPr>
          <w:p>
            <w:pPr>
              <w:jc w:val="center"/>
            </w:pPr>
            <w:r>
              <w:rPr/>
              <w:t xml:space="preserve">b01</w:t>
            </w:r>
          </w:p>
        </w:tc>
        <w:tc>
          <w:tcPr>
            <w:tcW w:w="5000" w:type="dxa"/>
          </w:tcPr>
          <w:p>
            <w:pPr/>
            <w:r>
              <w:rPr/>
              <w:t xml:space="preserve">Počítačová způsobilost</w:t>
            </w:r>
          </w:p>
        </w:tc>
        <w:tc>
          <w:tcPr>
            <w:tcW w:w="2000" w:type="dxa"/>
          </w:tcPr>
          <w:p>
            <w:pPr>
              <w:jc w:val="center"/>
            </w:pPr>
            <w:r>
              <w:rPr/>
              <w:t xml:space="preserve">2</w:t>
            </w:r>
          </w:p>
        </w:tc>
      </w:tr>
      <w:tr>
        <w:trPr/>
        <w:tc>
          <w:tcPr>
            <w:tcW w:w="2000" w:type="dxa"/>
          </w:tcPr>
          <w:p>
            <w:pPr>
              <w:jc w:val="center"/>
            </w:pPr>
            <w:r>
              <w:rPr/>
              <w:t xml:space="preserve">b02</w:t>
            </w:r>
          </w:p>
        </w:tc>
        <w:tc>
          <w:tcPr>
            <w:tcW w:w="5000" w:type="dxa"/>
          </w:tcPr>
          <w:p>
            <w:pPr/>
            <w:r>
              <w:rPr/>
              <w:t xml:space="preserve">Způsobilost k řízení osobního automobilu</w:t>
            </w:r>
          </w:p>
        </w:tc>
        <w:tc>
          <w:tcPr>
            <w:tcW w:w="2000" w:type="dxa"/>
          </w:tcPr>
          <w:p>
            <w:pPr>
              <w:jc w:val="center"/>
            </w:pPr>
            <w:r>
              <w:rPr/>
              <w:t xml:space="preserve">0</w:t>
            </w:r>
          </w:p>
        </w:tc>
      </w:tr>
      <w:tr>
        <w:trPr/>
        <w:tc>
          <w:tcPr>
            <w:tcW w:w="2000" w:type="dxa"/>
          </w:tcPr>
          <w:p>
            <w:pPr>
              <w:jc w:val="center"/>
            </w:pPr>
            <w:r>
              <w:rPr/>
              <w:t xml:space="preserve">b03</w:t>
            </w:r>
          </w:p>
        </w:tc>
        <w:tc>
          <w:tcPr>
            <w:tcW w:w="5000" w:type="dxa"/>
          </w:tcPr>
          <w:p>
            <w:pPr/>
            <w:r>
              <w:rPr/>
              <w:t xml:space="preserve">Numerická způsobilost</w:t>
            </w:r>
          </w:p>
        </w:tc>
        <w:tc>
          <w:tcPr>
            <w:tcW w:w="2000" w:type="dxa"/>
          </w:tcPr>
          <w:p>
            <w:pPr>
              <w:jc w:val="center"/>
            </w:pPr>
            <w:r>
              <w:rPr/>
              <w:t xml:space="preserve">1</w:t>
            </w:r>
          </w:p>
        </w:tc>
      </w:tr>
      <w:tr>
        <w:trPr/>
        <w:tc>
          <w:tcPr>
            <w:tcW w:w="2000" w:type="dxa"/>
          </w:tcPr>
          <w:p>
            <w:pPr>
              <w:jc w:val="center"/>
            </w:pPr>
            <w:r>
              <w:rPr/>
              <w:t xml:space="preserve">b04</w:t>
            </w:r>
          </w:p>
        </w:tc>
        <w:tc>
          <w:tcPr>
            <w:tcW w:w="5000" w:type="dxa"/>
          </w:tcPr>
          <w:p>
            <w:pPr/>
            <w:r>
              <w:rPr/>
              <w:t xml:space="preserve">Ekonomické povědomí</w:t>
            </w:r>
          </w:p>
        </w:tc>
        <w:tc>
          <w:tcPr>
            <w:tcW w:w="2000" w:type="dxa"/>
          </w:tcPr>
          <w:p>
            <w:pPr>
              <w:jc w:val="center"/>
            </w:pPr>
            <w:r>
              <w:rPr/>
              <w:t xml:space="preserve">1</w:t>
            </w:r>
          </w:p>
        </w:tc>
      </w:tr>
      <w:tr>
        <w:trPr/>
        <w:tc>
          <w:tcPr>
            <w:tcW w:w="2000" w:type="dxa"/>
          </w:tcPr>
          <w:p>
            <w:pPr>
              <w:jc w:val="center"/>
            </w:pPr>
            <w:r>
              <w:rPr/>
              <w:t xml:space="preserve">b05</w:t>
            </w:r>
          </w:p>
        </w:tc>
        <w:tc>
          <w:tcPr>
            <w:tcW w:w="5000" w:type="dxa"/>
          </w:tcPr>
          <w:p>
            <w:pPr/>
            <w:r>
              <w:rPr/>
              <w:t xml:space="preserve">Právní povědomí</w:t>
            </w:r>
          </w:p>
        </w:tc>
        <w:tc>
          <w:tcPr>
            <w:tcW w:w="2000" w:type="dxa"/>
          </w:tcPr>
          <w:p>
            <w:pPr>
              <w:jc w:val="center"/>
            </w:pPr>
            <w:r>
              <w:rPr/>
              <w:t xml:space="preserve">1</w:t>
            </w:r>
          </w:p>
        </w:tc>
      </w:tr>
      <w:tr>
        <w:trPr/>
        <w:tc>
          <w:tcPr>
            <w:tcW w:w="2000" w:type="dxa"/>
          </w:tcPr>
          <w:p>
            <w:pPr>
              <w:jc w:val="center"/>
            </w:pPr>
            <w:r>
              <w:rPr/>
              <w:t xml:space="preserve">b06</w:t>
            </w:r>
          </w:p>
        </w:tc>
        <w:tc>
          <w:tcPr>
            <w:tcW w:w="5000" w:type="dxa"/>
          </w:tcPr>
          <w:p>
            <w:pPr/>
            <w:r>
              <w:rPr/>
              <w:t xml:space="preserve">Jazyková způsobilost v češtině</w:t>
            </w:r>
          </w:p>
        </w:tc>
        <w:tc>
          <w:tcPr>
            <w:tcW w:w="2000" w:type="dxa"/>
          </w:tcPr>
          <w:p>
            <w:pPr>
              <w:jc w:val="center"/>
            </w:pPr>
            <w:r>
              <w:rPr/>
              <w:t xml:space="preserve">2</w:t>
            </w:r>
          </w:p>
        </w:tc>
      </w:tr>
      <w:tr>
        <w:trPr/>
        <w:tc>
          <w:tcPr>
            <w:tcW w:w="2000" w:type="dxa"/>
          </w:tcPr>
          <w:p>
            <w:pPr>
              <w:jc w:val="center"/>
            </w:pPr>
            <w:r>
              <w:rPr/>
              <w:t xml:space="preserve">b07</w:t>
            </w:r>
          </w:p>
        </w:tc>
        <w:tc>
          <w:tcPr>
            <w:tcW w:w="5000" w:type="dxa"/>
          </w:tcPr>
          <w:p>
            <w:pPr/>
            <w:r>
              <w:rPr/>
              <w:t xml:space="preserve">Jazyková způsobilost v angličtině</w:t>
            </w:r>
          </w:p>
        </w:tc>
        <w:tc>
          <w:tcPr>
            <w:tcW w:w="2000" w:type="dxa"/>
          </w:tcPr>
          <w:p>
            <w:pPr>
              <w:jc w:val="center"/>
            </w:pPr>
            <w:r>
              <w:rPr/>
              <w:t xml:space="preserve">2</w:t>
            </w:r>
          </w:p>
        </w:tc>
      </w:tr>
      <w:tr>
        <w:trPr/>
        <w:tc>
          <w:tcPr>
            <w:tcW w:w="2000" w:type="dxa"/>
          </w:tcPr>
          <w:p>
            <w:pPr>
              <w:jc w:val="center"/>
            </w:pPr>
            <w:r>
              <w:rPr/>
              <w:t xml:space="preserve">b08</w:t>
            </w:r>
          </w:p>
        </w:tc>
        <w:tc>
          <w:tcPr>
            <w:tcW w:w="5000" w:type="dxa"/>
          </w:tcPr>
          <w:p>
            <w:pPr/>
            <w:r>
              <w:rPr/>
              <w:t xml:space="preserve">Jazyková způsobilost v dalším cizím jazyce</w:t>
            </w:r>
          </w:p>
        </w:tc>
        <w:tc>
          <w:tcPr>
            <w:tcW w:w="2000" w:type="dxa"/>
          </w:tcPr>
          <w:p>
            <w:pPr>
              <w:jc w:val="center"/>
            </w:pPr>
            <w:r>
              <w:rPr/>
              <w:t xml:space="preserve">0</w:t>
            </w:r>
          </w:p>
        </w:tc>
      </w:tr>
    </w:tbl>
    <w:p>
      <w:pPr/>
      <w:r>
        <w:rPr>
          <w:sz w:val="16"/>
          <w:szCs w:val="16"/>
          <w:i w:val="1"/>
          <w:iCs w:val="1"/>
        </w:rPr>
        <w:t xml:space="preserve">Popisy úrovní naleznete zde: https://nsp.cz/downloads/Priloha_c10_manualu.pdf</w:t>
      </w:r>
    </w:p>
    <w:p/>
    <w:p>
      <w:pPr/>
      <w:r>
        <w:rPr>
          <w:sz w:val="16"/>
          <w:szCs w:val="16"/>
          <w:i w:val="1"/>
          <w:iCs w:val="1"/>
        </w:rPr>
        <w:t xml:space="preserve">Popisy úrovní naleznete zde: https://nsp.cz/downloads/Priloha_c15_manualu.pdf</w:t>
      </w:r>
    </w:p>
    <w:p/>
    <w:p>
      <w:pPr>
        <w:pStyle w:val="Heading3"/>
      </w:pPr>
      <w:bookmarkStart w:id="20" w:name="_Toc20"/>
      <w:r>
        <w:t>Měkké kompetence</w:t>
      </w:r>
      <w:bookmarkEnd w:id="20"/>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0-5</w:t>
            </w:r>
          </w:p>
        </w:tc>
      </w:tr>
      <w:tr>
        <w:trPr/>
        <w:tc>
          <w:tcPr>
            <w:tcW w:w="2000" w:type="dxa"/>
          </w:tcPr>
          <w:p>
            <w:pPr>
              <w:jc w:val="center"/>
            </w:pPr>
            <w:r>
              <w:rPr/>
              <w:t xml:space="preserve">2.1</w:t>
            </w:r>
          </w:p>
        </w:tc>
        <w:tc>
          <w:tcPr>
            <w:tcW w:w="5000" w:type="dxa"/>
          </w:tcPr>
          <w:p>
            <w:pPr/>
            <w:r>
              <w:rPr/>
              <w:t xml:space="preserve">Kompetence k efektivní komunikaci</w:t>
            </w:r>
          </w:p>
        </w:tc>
        <w:tc>
          <w:tcPr>
            <w:tcW w:w="2000" w:type="dxa"/>
          </w:tcPr>
          <w:p>
            <w:pPr>
              <w:jc w:val="center"/>
            </w:pPr>
            <w:r>
              <w:rPr/>
              <w:t xml:space="preserve">4</w:t>
            </w:r>
          </w:p>
        </w:tc>
      </w:tr>
      <w:tr>
        <w:trPr/>
        <w:tc>
          <w:tcPr>
            <w:tcW w:w="2000" w:type="dxa"/>
          </w:tcPr>
          <w:p>
            <w:pPr>
              <w:jc w:val="center"/>
            </w:pPr>
            <w:r>
              <w:rPr/>
              <w:t xml:space="preserve">2.6</w:t>
            </w:r>
          </w:p>
        </w:tc>
        <w:tc>
          <w:tcPr>
            <w:tcW w:w="5000" w:type="dxa"/>
          </w:tcPr>
          <w:p>
            <w:pPr/>
            <w:r>
              <w:rPr/>
              <w:t xml:space="preserve">Kompetence k vedení lidí</w:t>
            </w:r>
          </w:p>
        </w:tc>
        <w:tc>
          <w:tcPr>
            <w:tcW w:w="2000" w:type="dxa"/>
          </w:tcPr>
          <w:p>
            <w:pPr>
              <w:jc w:val="center"/>
            </w:pPr>
            <w:r>
              <w:rPr/>
              <w:t xml:space="preserve">0</w:t>
            </w:r>
          </w:p>
        </w:tc>
      </w:tr>
      <w:tr>
        <w:trPr/>
        <w:tc>
          <w:tcPr>
            <w:tcW w:w="2000" w:type="dxa"/>
          </w:tcPr>
          <w:p>
            <w:pPr>
              <w:jc w:val="center"/>
            </w:pPr>
            <w:r>
              <w:rPr/>
              <w:t xml:space="preserve">3.3</w:t>
            </w:r>
          </w:p>
        </w:tc>
        <w:tc>
          <w:tcPr>
            <w:tcW w:w="5000" w:type="dxa"/>
          </w:tcPr>
          <w:p>
            <w:pPr/>
            <w:r>
              <w:rPr/>
              <w:t xml:space="preserve">Kompetence k objevování a orientaci v informacích</w:t>
            </w:r>
          </w:p>
        </w:tc>
        <w:tc>
          <w:tcPr>
            <w:tcW w:w="2000" w:type="dxa"/>
          </w:tcPr>
          <w:p>
            <w:pPr>
              <w:jc w:val="center"/>
            </w:pPr>
            <w:r>
              <w:rPr/>
              <w:t xml:space="preserve">3</w:t>
            </w:r>
          </w:p>
        </w:tc>
      </w:tr>
      <w:tr>
        <w:trPr/>
        <w:tc>
          <w:tcPr>
            <w:tcW w:w="2000" w:type="dxa"/>
          </w:tcPr>
          <w:p>
            <w:pPr>
              <w:jc w:val="center"/>
            </w:pPr>
            <w:r>
              <w:rPr/>
              <w:t xml:space="preserve">1.4</w:t>
            </w:r>
          </w:p>
        </w:tc>
        <w:tc>
          <w:tcPr>
            <w:tcW w:w="5000" w:type="dxa"/>
          </w:tcPr>
          <w:p>
            <w:pPr/>
            <w:r>
              <w:rPr/>
              <w:t xml:space="preserve">Kompetence ke zvládání stresu a zátěže</w:t>
            </w:r>
          </w:p>
        </w:tc>
        <w:tc>
          <w:tcPr>
            <w:tcW w:w="2000" w:type="dxa"/>
          </w:tcPr>
          <w:p>
            <w:pPr>
              <w:jc w:val="center"/>
            </w:pPr>
            <w:r>
              <w:rPr/>
              <w:t xml:space="preserve">3</w:t>
            </w:r>
          </w:p>
        </w:tc>
      </w:tr>
      <w:tr>
        <w:trPr/>
        <w:tc>
          <w:tcPr>
            <w:tcW w:w="2000" w:type="dxa"/>
          </w:tcPr>
          <w:p>
            <w:pPr>
              <w:jc w:val="center"/>
            </w:pPr>
            <w:r>
              <w:rPr/>
              <w:t xml:space="preserve">4.1</w:t>
            </w:r>
          </w:p>
        </w:tc>
        <w:tc>
          <w:tcPr>
            <w:tcW w:w="5000" w:type="dxa"/>
          </w:tcPr>
          <w:p>
            <w:pPr/>
            <w:r>
              <w:rPr/>
              <w:t xml:space="preserve">Kompetence k aktivnímu přístupu</w:t>
            </w:r>
          </w:p>
        </w:tc>
        <w:tc>
          <w:tcPr>
            <w:tcW w:w="2000" w:type="dxa"/>
          </w:tcPr>
          <w:p>
            <w:pPr>
              <w:jc w:val="center"/>
            </w:pPr>
            <w:r>
              <w:rPr/>
              <w:t xml:space="preserve">3</w:t>
            </w:r>
          </w:p>
        </w:tc>
      </w:tr>
      <w:tr>
        <w:trPr/>
        <w:tc>
          <w:tcPr>
            <w:tcW w:w="2000" w:type="dxa"/>
          </w:tcPr>
          <w:p>
            <w:pPr>
              <w:jc w:val="center"/>
            </w:pPr>
            <w:r>
              <w:rPr/>
              <w:t xml:space="preserve">1.1</w:t>
            </w:r>
          </w:p>
        </w:tc>
        <w:tc>
          <w:tcPr>
            <w:tcW w:w="5000" w:type="dxa"/>
          </w:tcPr>
          <w:p>
            <w:pPr/>
            <w:r>
              <w:rPr/>
              <w:t xml:space="preserve">Kompetence k celoživotnímu vzdělávání</w:t>
            </w:r>
          </w:p>
        </w:tc>
        <w:tc>
          <w:tcPr>
            <w:tcW w:w="2000" w:type="dxa"/>
          </w:tcPr>
          <w:p>
            <w:pPr>
              <w:jc w:val="center"/>
            </w:pPr>
            <w:r>
              <w:rPr/>
              <w:t xml:space="preserve">3</w:t>
            </w:r>
          </w:p>
        </w:tc>
      </w:tr>
      <w:tr>
        <w:trPr/>
        <w:tc>
          <w:tcPr>
            <w:tcW w:w="2000" w:type="dxa"/>
          </w:tcPr>
          <w:p>
            <w:pPr>
              <w:jc w:val="center"/>
            </w:pPr>
            <w:r>
              <w:rPr/>
              <w:t xml:space="preserve">4.2</w:t>
            </w:r>
          </w:p>
        </w:tc>
        <w:tc>
          <w:tcPr>
            <w:tcW w:w="5000" w:type="dxa"/>
          </w:tcPr>
          <w:p>
            <w:pPr/>
            <w:r>
              <w:rPr/>
              <w:t xml:space="preserve">Kompetence k plánování a organizování práce</w:t>
            </w:r>
          </w:p>
        </w:tc>
        <w:tc>
          <w:tcPr>
            <w:tcW w:w="2000" w:type="dxa"/>
          </w:tcPr>
          <w:p>
            <w:pPr>
              <w:jc w:val="center"/>
            </w:pPr>
            <w:r>
              <w:rPr/>
              <w:t xml:space="preserve">3</w:t>
            </w:r>
          </w:p>
        </w:tc>
      </w:tr>
      <w:tr>
        <w:trPr/>
        <w:tc>
          <w:tcPr>
            <w:tcW w:w="2000" w:type="dxa"/>
          </w:tcPr>
          <w:p>
            <w:pPr>
              <w:jc w:val="center"/>
            </w:pPr>
            <w:r>
              <w:rPr/>
              <w:t xml:space="preserve">4.4</w:t>
            </w:r>
          </w:p>
        </w:tc>
        <w:tc>
          <w:tcPr>
            <w:tcW w:w="5000" w:type="dxa"/>
          </w:tcPr>
          <w:p>
            <w:pPr/>
            <w:r>
              <w:rPr/>
              <w:t xml:space="preserve">Kompetence k řešení problémů</w:t>
            </w:r>
          </w:p>
        </w:tc>
        <w:tc>
          <w:tcPr>
            <w:tcW w:w="2000" w:type="dxa"/>
          </w:tcPr>
          <w:p>
            <w:pPr>
              <w:jc w:val="center"/>
            </w:pPr>
            <w:r>
              <w:rPr/>
              <w:t xml:space="preserve">4</w:t>
            </w:r>
          </w:p>
        </w:tc>
      </w:tr>
      <w:tr>
        <w:trPr/>
        <w:tc>
          <w:tcPr>
            <w:tcW w:w="2000" w:type="dxa"/>
          </w:tcPr>
          <w:p>
            <w:pPr>
              <w:jc w:val="center"/>
            </w:pPr>
            <w:r>
              <w:rPr/>
              <w:t xml:space="preserve">4.5</w:t>
            </w:r>
          </w:p>
        </w:tc>
        <w:tc>
          <w:tcPr>
            <w:tcW w:w="5000" w:type="dxa"/>
          </w:tcPr>
          <w:p>
            <w:pPr/>
            <w:r>
              <w:rPr/>
              <w:t xml:space="preserve">Kompetence k samostatnosti</w:t>
            </w:r>
          </w:p>
        </w:tc>
        <w:tc>
          <w:tcPr>
            <w:tcW w:w="2000" w:type="dxa"/>
          </w:tcPr>
          <w:p>
            <w:pPr>
              <w:jc w:val="center"/>
            </w:pPr>
            <w:r>
              <w:rPr/>
              <w:t xml:space="preserve">4</w:t>
            </w:r>
          </w:p>
        </w:tc>
      </w:tr>
      <w:tr>
        <w:trPr/>
        <w:tc>
          <w:tcPr>
            <w:tcW w:w="2000" w:type="dxa"/>
          </w:tcPr>
          <w:p>
            <w:pPr>
              <w:jc w:val="center"/>
            </w:pPr>
            <w:r>
              <w:rPr/>
              <w:t xml:space="preserve">4.6</w:t>
            </w:r>
          </w:p>
        </w:tc>
        <w:tc>
          <w:tcPr>
            <w:tcW w:w="5000" w:type="dxa"/>
          </w:tcPr>
          <w:p>
            <w:pPr/>
            <w:r>
              <w:rPr/>
              <w:t xml:space="preserve">Kompetence k výkonnosti</w:t>
            </w:r>
          </w:p>
        </w:tc>
        <w:tc>
          <w:tcPr>
            <w:tcW w:w="2000" w:type="dxa"/>
          </w:tcPr>
          <w:p>
            <w:pPr>
              <w:jc w:val="center"/>
            </w:pPr>
            <w:r>
              <w:rPr/>
              <w:t xml:space="preserve">3</w:t>
            </w:r>
          </w:p>
        </w:tc>
      </w:tr>
      <w:tr>
        <w:trPr/>
        <w:tc>
          <w:tcPr>
            <w:tcW w:w="2000" w:type="dxa"/>
          </w:tcPr>
          <w:p>
            <w:pPr>
              <w:jc w:val="center"/>
            </w:pPr>
            <w:r>
              <w:rPr/>
              <w:t xml:space="preserve">2.3</w:t>
            </w:r>
          </w:p>
        </w:tc>
        <w:tc>
          <w:tcPr>
            <w:tcW w:w="5000" w:type="dxa"/>
          </w:tcPr>
          <w:p>
            <w:pPr/>
            <w:r>
              <w:rPr/>
              <w:t xml:space="preserve">Kompetence k orientaci na zákazníka a uspokojování zákaznických potřeb</w:t>
            </w:r>
          </w:p>
        </w:tc>
        <w:tc>
          <w:tcPr>
            <w:tcW w:w="2000" w:type="dxa"/>
          </w:tcPr>
          <w:p>
            <w:pPr>
              <w:jc w:val="center"/>
            </w:pPr>
            <w:r>
              <w:rPr/>
              <w:t xml:space="preserve">3</w:t>
            </w:r>
          </w:p>
        </w:tc>
      </w:tr>
      <w:tr>
        <w:trPr/>
        <w:tc>
          <w:tcPr>
            <w:tcW w:w="2000" w:type="dxa"/>
          </w:tcPr>
          <w:p>
            <w:pPr>
              <w:jc w:val="center"/>
            </w:pPr>
            <w:r>
              <w:rPr/>
              <w:t xml:space="preserve">1.2</w:t>
            </w:r>
          </w:p>
        </w:tc>
        <w:tc>
          <w:tcPr>
            <w:tcW w:w="5000" w:type="dxa"/>
          </w:tcPr>
          <w:p>
            <w:pPr/>
            <w:r>
              <w:rPr/>
              <w:t xml:space="preserve">Kompetence k flexibilitě</w:t>
            </w:r>
          </w:p>
        </w:tc>
        <w:tc>
          <w:tcPr>
            <w:tcW w:w="2000" w:type="dxa"/>
          </w:tcPr>
          <w:p>
            <w:pPr>
              <w:jc w:val="center"/>
            </w:pPr>
            <w:r>
              <w:rPr/>
              <w:t xml:space="preserve">4</w:t>
            </w:r>
          </w:p>
        </w:tc>
      </w:tr>
      <w:tr>
        <w:trPr/>
        <w:tc>
          <w:tcPr>
            <w:tcW w:w="2000" w:type="dxa"/>
          </w:tcPr>
          <w:p>
            <w:pPr>
              <w:jc w:val="center"/>
            </w:pPr>
            <w:r>
              <w:rPr/>
              <w:t xml:space="preserve">1.3</w:t>
            </w:r>
          </w:p>
        </w:tc>
        <w:tc>
          <w:tcPr>
            <w:tcW w:w="5000" w:type="dxa"/>
          </w:tcPr>
          <w:p>
            <w:pPr/>
            <w:r>
              <w:rPr/>
              <w:t xml:space="preserve">Kompetence ke kreativitě</w:t>
            </w:r>
          </w:p>
        </w:tc>
        <w:tc>
          <w:tcPr>
            <w:tcW w:w="2000" w:type="dxa"/>
          </w:tcPr>
          <w:p>
            <w:pPr>
              <w:jc w:val="center"/>
            </w:pPr>
            <w:r>
              <w:rPr/>
              <w:t xml:space="preserve">3</w:t>
            </w:r>
          </w:p>
        </w:tc>
      </w:tr>
      <w:tr>
        <w:trPr/>
        <w:tc>
          <w:tcPr>
            <w:tcW w:w="2000" w:type="dxa"/>
          </w:tcPr>
          <w:p>
            <w:pPr>
              <w:jc w:val="center"/>
            </w:pPr>
            <w:r>
              <w:rPr/>
              <w:t xml:space="preserve">2.2</w:t>
            </w:r>
          </w:p>
        </w:tc>
        <w:tc>
          <w:tcPr>
            <w:tcW w:w="5000" w:type="dxa"/>
          </w:tcPr>
          <w:p>
            <w:pPr/>
            <w:r>
              <w:rPr/>
              <w:t xml:space="preserve">Kompetence ke kooperaci</w:t>
            </w:r>
          </w:p>
        </w:tc>
        <w:tc>
          <w:tcPr>
            <w:tcW w:w="2000" w:type="dxa"/>
          </w:tcPr>
          <w:p>
            <w:pPr>
              <w:jc w:val="center"/>
            </w:pPr>
            <w:r>
              <w:rPr/>
              <w:t xml:space="preserve">3</w:t>
            </w:r>
          </w:p>
        </w:tc>
      </w:tr>
      <w:tr>
        <w:trPr/>
        <w:tc>
          <w:tcPr>
            <w:tcW w:w="2000" w:type="dxa"/>
          </w:tcPr>
          <w:p>
            <w:pPr>
              <w:jc w:val="center"/>
            </w:pPr>
            <w:r>
              <w:rPr/>
              <w:t xml:space="preserve">2.4</w:t>
            </w:r>
          </w:p>
        </w:tc>
        <w:tc>
          <w:tcPr>
            <w:tcW w:w="5000" w:type="dxa"/>
          </w:tcPr>
          <w:p>
            <w:pPr/>
            <w:r>
              <w:rPr/>
              <w:t xml:space="preserve">Kompetence k ovlivňování a rozvíjení ostatních</w:t>
            </w:r>
          </w:p>
        </w:tc>
        <w:tc>
          <w:tcPr>
            <w:tcW w:w="2000" w:type="dxa"/>
          </w:tcPr>
          <w:p>
            <w:pPr>
              <w:jc w:val="center"/>
            </w:pPr>
            <w:r>
              <w:rPr/>
              <w:t xml:space="preserve">3</w:t>
            </w:r>
          </w:p>
        </w:tc>
      </w:tr>
    </w:tbl>
    <w:p>
      <w:pPr/>
      <w:r>
        <w:rPr>
          <w:sz w:val="16"/>
          <w:szCs w:val="16"/>
          <w:i w:val="1"/>
          <w:iCs w:val="1"/>
        </w:rPr>
        <w:t xml:space="preserve">Popisy úrovní naleznete zde: https://nsp.cz/downloads/Priloha_c9_manualu.pdf</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9933EB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sz w:val="40"/>
      <w:szCs w:val="40"/>
      <w:b w:val="1"/>
      <w:bCs w:val="1"/>
    </w:rPr>
  </w:style>
  <w:style w:type="paragraph" w:styleId="Heading2">
    <w:link w:val="Heading2Char"/>
    <w:name w:val="heading 2"/>
    <w:basedOn w:val="Normal"/>
    <w:pPr>
      <w:spacing w:after="80"/>
    </w:pPr>
    <w:rPr>
      <w:sz w:val="28"/>
      <w:szCs w:val="28"/>
      <w:b w:val="1"/>
      <w:bCs w:val="1"/>
    </w:rPr>
  </w:style>
  <w:style w:type="paragraph" w:styleId="Heading3">
    <w:link w:val="Heading3Char"/>
    <w:name w:val="heading 3"/>
    <w:basedOn w:val="Normal"/>
    <w:pPr>
      <w:spacing w:after="60"/>
    </w:pPr>
    <w:rPr>
      <w:sz w:val="24"/>
      <w:szCs w:val="24"/>
      <w:b w:val="1"/>
      <w:bCs w:val="1"/>
    </w:rPr>
  </w:style>
  <w:style w:type="paragraph" w:styleId="Heading4">
    <w:link w:val="Heading4Char"/>
    <w:name w:val="heading 4"/>
    <w:basedOn w:val="Normal"/>
    <w:pPr>
      <w:spacing w:after="6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FDV</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NSP.CZ</dc:creator>
  <dc:title>Chemický technik produktmanažer</dc:title>
  <dc:description>Chemický technik produktmanažer se orientuje v sortimentu chemických produktů a zajišťuje administrativní podporu a přípravu jejich prodeje a přepravy.</dc:description>
  <dc:subject/>
  <cp:keywords/>
  <cp:category>Specializace</cp:category>
  <cp:lastModifiedBy/>
  <dcterms:created xsi:type="dcterms:W3CDTF">2017-11-22T09:14:06+01:00</dcterms:created>
  <dcterms:modified xsi:type="dcterms:W3CDTF">2024-03-26T10:03:33+01:00</dcterms:modified>
</cp:coreProperties>
</file>

<file path=docProps/custom.xml><?xml version="1.0" encoding="utf-8"?>
<Properties xmlns="http://schemas.openxmlformats.org/officeDocument/2006/custom-properties" xmlns:vt="http://schemas.openxmlformats.org/officeDocument/2006/docPropsVTypes"/>
</file>