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architektury</w:t>
      </w:r>
      <w:bookmarkEnd w:id="1"/>
    </w:p>
    <w:p>
      <w:pPr/>
      <w:r>
        <w:rPr/>
        <w:t xml:space="preserve"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odborných vyjádření k údržbě, obnově, rekonstrukci, restauraci památkově chráněných a památkových objektů, areálů a souborů, zájmových území.</w:t>
      </w:r>
    </w:p>
    <w:p>
      <w:pPr>
        <w:numPr>
          <w:ilvl w:val="0"/>
          <w:numId w:val="5"/>
        </w:numPr>
      </w:pPr>
      <w:r>
        <w:rPr/>
        <w:t xml:space="preserve">Dokumentace staveb, souborů staveb, územních celků a jejich částí.</w:t>
      </w:r>
    </w:p>
    <w:p>
      <w:pPr>
        <w:numPr>
          <w:ilvl w:val="0"/>
          <w:numId w:val="5"/>
        </w:numPr>
      </w:pPr>
      <w:r>
        <w:rPr/>
        <w:t xml:space="preserve">Odborná a metodická pomoc vlastníkům kulturních památek – poradenská činnost.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Kontrola stavu památkově chráněných staveb, souborů a památkových území.</w:t>
      </w:r>
    </w:p>
    <w:p>
      <w:pPr>
        <w:numPr>
          <w:ilvl w:val="0"/>
          <w:numId w:val="5"/>
        </w:numPr>
      </w:pPr>
      <w:r>
        <w:rPr/>
        <w:t xml:space="preserve">Vyhledávání objektů a území pro památkovou ochranu.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čerpání dotací z dotačních titulů MK ČR, krajských úřadů a obcí.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odborných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FA25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architektury</dc:title>
  <dc:description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