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odpadového hospodářství</w:t>
      </w:r>
      <w:bookmarkEnd w:id="1"/>
    </w:p>
    <w:p>
      <w:pPr/>
      <w:r>
        <w:rPr/>
        <w:t xml:space="preserve"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kontrola činnosti zařízení pro nakládání s odpady.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kladených právními a interními předpisy na nakládání s odpady v organizaci.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(původce odpadu) při jednání s orgány státní a veřejné správy v oblasti odpadového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realizaci přijatých interních opatření k prevenci, recyklaci a odstraňování odpadů.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nakládání s nimi.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 z pohledu nakládání s odpady.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Bilancování materiálových toků odpadů v organizaci.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procesy, materiálové a energetické toky v oboru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4F5A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odpadového hospodářství</dc:title>
  <dc:description>Technik specialista odpadového hospodářství ve výrobních podnicích zajišťuje a kontroluje činnost provozovaných zařízení odpadového hospodářství, kontroluje plnění požadavků kladených právními a interními předpisy na nakládání s odpady v organizaci, zajišťuje podklady pro povinná hlášení o produkci a nakládání s odpady a o provozovaných zařízeních.</dc:description>
  <dc:subject/>
  <cp:keywords/>
  <cp:category>Specializace</cp:category>
  <cp:lastModifiedBy/>
  <dcterms:created xsi:type="dcterms:W3CDTF">2017-11-22T09:12:40+01:00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