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Samostatný pracovník kapitálových obchodů</w:t>
      </w:r>
      <w:bookmarkEnd w:id="1"/>
    </w:p>
    <w:p>
      <w:pPr/>
      <w:r>
        <w:rPr/>
        <w:t xml:space="preserve">Samostatný pracovník kapitálových obchodů provádí zabezpečování obchodů a služeb investičního bankovnictví a činností souvisejících s operacemi na primárním a sekundárním trhu s cennými papíry včetně administrace.</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Odborný pracovník kapitálových obchodů</w:t>
            </w:r>
          </w:p>
        </w:tc>
      </w:tr>
      <w:tr>
        <w:trPr/>
        <w:tc>
          <w:tcPr/>
          <w:p>
            <w:pPr/>
            <w:r>
              <w:rPr>
                <w:b w:val="1"/>
                <w:bCs w:val="1"/>
              </w:rPr>
              <w:t xml:space="preserve">Nadřízené povolání:</w:t>
            </w:r>
          </w:p>
        </w:tc>
        <w:tc>
          <w:tcPr/>
          <w:p>
            <w:pPr/>
            <w:r>
              <w:rPr/>
              <w:t xml:space="preserve">Samostatný bankovní pracovník</w:t>
            </w:r>
          </w:p>
        </w:tc>
      </w:tr>
      <w:tr>
        <w:trPr/>
        <w:tc>
          <w:tcPr/>
          <w:p>
            <w:pPr/>
            <w:r>
              <w:rPr>
                <w:b w:val="1"/>
                <w:bCs w:val="1"/>
              </w:rPr>
              <w:t xml:space="preserve">Příbuzné specializace:</w:t>
            </w:r>
          </w:p>
        </w:tc>
        <w:tc>
          <w:tcPr/>
          <w:p>
            <w:pPr/>
            <w:r>
              <w:rPr/>
              <w:t xml:space="preserve">Samostatný pracovník kapitálových obchodů, Samostatný pracovník podnikatelských úvěrů, Metodik bankovních hotovostních operací, Samostatný pracovník systému platebních karet, Dealer asistent, Samostatný pracovník správy úvěrového portfolia, Samostatný pracovník vývoje bankovních produktů, Samostatný pracovník devizových obchodů, Samostatný pracovník řízení úvěrů, Bankovní ekonom</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Vyhledávání a získávání mandátů od významných a bonitních klientů banky.</w:t>
      </w:r>
    </w:p>
    <w:p>
      <w:pPr>
        <w:numPr>
          <w:ilvl w:val="0"/>
          <w:numId w:val="5"/>
        </w:numPr>
      </w:pPr>
      <w:r>
        <w:rPr/>
        <w:t xml:space="preserve">Zajišťování správy a průběhu platebních operací při primárních emisích cenných papírů.</w:t>
      </w:r>
    </w:p>
    <w:p>
      <w:pPr>
        <w:numPr>
          <w:ilvl w:val="0"/>
          <w:numId w:val="5"/>
        </w:numPr>
      </w:pPr>
      <w:r>
        <w:rPr/>
        <w:t xml:space="preserve">Zpracování podkladů a stanovisek k primárním emisím cenných papírů.</w:t>
      </w:r>
    </w:p>
    <w:p>
      <w:pPr>
        <w:numPr>
          <w:ilvl w:val="0"/>
          <w:numId w:val="5"/>
        </w:numPr>
      </w:pPr>
      <w:r>
        <w:rPr/>
        <w:t xml:space="preserve">Vypořádávání operací sekundárního trhu s cennými papíry.</w:t>
      </w:r>
    </w:p>
    <w:p>
      <w:pPr>
        <w:numPr>
          <w:ilvl w:val="0"/>
          <w:numId w:val="5"/>
        </w:numPr>
      </w:pPr>
      <w:r>
        <w:rPr/>
        <w:t xml:space="preserve">Zajištění výplat výnosu z cenných papírů.</w:t>
      </w:r>
    </w:p>
    <w:p>
      <w:pPr>
        <w:numPr>
          <w:ilvl w:val="0"/>
          <w:numId w:val="5"/>
        </w:numPr>
      </w:pPr>
      <w:r>
        <w:rPr/>
        <w:t xml:space="preserve">Jednání s nejvýznamnějšími investory a emitenty.</w:t>
      </w:r>
    </w:p>
    <w:p>
      <w:pPr>
        <w:numPr>
          <w:ilvl w:val="0"/>
          <w:numId w:val="5"/>
        </w:numPr>
      </w:pPr>
      <w:r>
        <w:rPr/>
        <w:t xml:space="preserve">Poradenské, konzultační a zprostředkovatelské služby pro klienty.</w:t>
      </w:r>
    </w:p>
    <w:p/>
    <w:p>
      <w:pPr>
        <w:pStyle w:val="Heading2"/>
      </w:pPr>
      <w:bookmarkStart w:id="3" w:name="_Toc3"/>
      <w:r>
        <w:t>CZ-ISCO</w:t>
      </w:r>
      <w:bookmarkEnd w:id="3"/>
    </w:p>
    <w:p>
      <w:pPr>
        <w:numPr>
          <w:ilvl w:val="0"/>
          <w:numId w:val="5"/>
        </w:numPr>
      </w:pPr>
      <w:r>
        <w:rPr/>
        <w:t xml:space="preserve">Ostatní odborní pracovníci v oblasti peněžnictví</w:t>
      </w:r>
    </w:p>
    <w:p>
      <w:pPr>
        <w:numPr>
          <w:ilvl w:val="0"/>
          <w:numId w:val="5"/>
        </w:numPr>
      </w:pPr>
      <w:r>
        <w:rPr/>
        <w:t xml:space="preserve">Odborní pracovníci v oblasti peněžnictví</w:t>
      </w:r>
    </w:p>
    <w:p/>
    <w:p>
      <w:pPr>
        <w:pStyle w:val="Heading3"/>
      </w:pPr>
      <w:bookmarkStart w:id="4" w:name="_Toc4"/>
      <w:r>
        <w:t>Hrubé měsíční mzdy podle krajů v roce 2020</w:t>
      </w:r>
      <w:bookmarkEnd w:id="4"/>
    </w:p>
    <w:p>
      <w:pPr>
        <w:pStyle w:val="Heading4"/>
      </w:pPr>
      <w:bookmarkStart w:id="5" w:name="_Toc5"/>
      <w:r>
        <w:t>Odborní pracovníci v oblasti peněžnictví (CZ-ISCO 3312)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32 563 Kč</w:t>
            </w:r>
          </w:p>
        </w:tc>
        <w:tc>
          <w:tcPr>
            <w:tcW w:w="1000" w:type="dxa"/>
          </w:tcPr>
          <w:p>
            <w:pPr>
              <w:jc w:val="center"/>
            </w:pPr>
            <w:r>
              <w:rPr/>
              <w:t xml:space="preserve">47 042 Kč</w:t>
            </w:r>
          </w:p>
        </w:tc>
        <w:tc>
          <w:tcPr>
            <w:tcW w:w="1000" w:type="dxa"/>
          </w:tcPr>
          <w:p>
            <w:pPr>
              <w:jc w:val="center"/>
            </w:pPr>
            <w:r>
              <w:rPr/>
              <w:t xml:space="preserve">86 633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29 405 Kč</w:t>
            </w:r>
          </w:p>
        </w:tc>
        <w:tc>
          <w:tcPr>
            <w:tcW w:w="1000" w:type="dxa"/>
          </w:tcPr>
          <w:p>
            <w:pPr>
              <w:jc w:val="center"/>
            </w:pPr>
            <w:r>
              <w:rPr/>
              <w:t xml:space="preserve">42 132 Kč</w:t>
            </w:r>
          </w:p>
        </w:tc>
        <w:tc>
          <w:tcPr>
            <w:tcW w:w="1000" w:type="dxa"/>
          </w:tcPr>
          <w:p>
            <w:pPr>
              <w:jc w:val="center"/>
            </w:pPr>
            <w:r>
              <w:rPr/>
              <w:t xml:space="preserve">62 757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28 466 Kč</w:t>
            </w:r>
          </w:p>
        </w:tc>
        <w:tc>
          <w:tcPr>
            <w:tcW w:w="1000" w:type="dxa"/>
          </w:tcPr>
          <w:p>
            <w:pPr>
              <w:jc w:val="center"/>
            </w:pPr>
            <w:r>
              <w:rPr/>
              <w:t xml:space="preserve">39 806 Kč</w:t>
            </w:r>
          </w:p>
        </w:tc>
        <w:tc>
          <w:tcPr>
            <w:tcW w:w="1000" w:type="dxa"/>
          </w:tcPr>
          <w:p>
            <w:pPr>
              <w:jc w:val="center"/>
            </w:pPr>
            <w:r>
              <w:rPr/>
              <w:t xml:space="preserve">63 765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14 627 Kč</w:t>
            </w:r>
          </w:p>
        </w:tc>
        <w:tc>
          <w:tcPr>
            <w:tcW w:w="1000" w:type="dxa"/>
          </w:tcPr>
          <w:p>
            <w:pPr>
              <w:jc w:val="center"/>
            </w:pPr>
            <w:r>
              <w:rPr/>
              <w:t xml:space="preserve">39 608 Kč</w:t>
            </w:r>
          </w:p>
        </w:tc>
        <w:tc>
          <w:tcPr>
            <w:tcW w:w="1000" w:type="dxa"/>
          </w:tcPr>
          <w:p>
            <w:pPr>
              <w:jc w:val="center"/>
            </w:pPr>
            <w:r>
              <w:rPr/>
              <w:t xml:space="preserve">64 974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27 997 Kč</w:t>
            </w:r>
          </w:p>
        </w:tc>
        <w:tc>
          <w:tcPr>
            <w:tcW w:w="1000" w:type="dxa"/>
          </w:tcPr>
          <w:p>
            <w:pPr>
              <w:jc w:val="center"/>
            </w:pPr>
            <w:r>
              <w:rPr/>
              <w:t xml:space="preserve">40 299 Kč</w:t>
            </w:r>
          </w:p>
        </w:tc>
        <w:tc>
          <w:tcPr>
            <w:tcW w:w="1000" w:type="dxa"/>
          </w:tcPr>
          <w:p>
            <w:pPr>
              <w:jc w:val="center"/>
            </w:pPr>
            <w:r>
              <w:rPr/>
              <w:t xml:space="preserve">64 544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28 530 Kč</w:t>
            </w:r>
          </w:p>
        </w:tc>
        <w:tc>
          <w:tcPr>
            <w:tcW w:w="1000" w:type="dxa"/>
          </w:tcPr>
          <w:p>
            <w:pPr>
              <w:jc w:val="center"/>
            </w:pPr>
            <w:r>
              <w:rPr/>
              <w:t xml:space="preserve">39 833 Kč</w:t>
            </w:r>
          </w:p>
        </w:tc>
        <w:tc>
          <w:tcPr>
            <w:tcW w:w="1000" w:type="dxa"/>
          </w:tcPr>
          <w:p>
            <w:pPr>
              <w:jc w:val="center"/>
            </w:pPr>
            <w:r>
              <w:rPr/>
              <w:t xml:space="preserve">61 215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26 075 Kč</w:t>
            </w:r>
          </w:p>
        </w:tc>
        <w:tc>
          <w:tcPr>
            <w:tcW w:w="1000" w:type="dxa"/>
          </w:tcPr>
          <w:p>
            <w:pPr>
              <w:jc w:val="center"/>
            </w:pPr>
            <w:r>
              <w:rPr/>
              <w:t xml:space="preserve">37 283 Kč</w:t>
            </w:r>
          </w:p>
        </w:tc>
        <w:tc>
          <w:tcPr>
            <w:tcW w:w="1000" w:type="dxa"/>
          </w:tcPr>
          <w:p>
            <w:pPr>
              <w:jc w:val="center"/>
            </w:pPr>
            <w:r>
              <w:rPr/>
              <w:t xml:space="preserve">60 540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27 880 Kč</w:t>
            </w:r>
          </w:p>
        </w:tc>
        <w:tc>
          <w:tcPr>
            <w:tcW w:w="1000" w:type="dxa"/>
          </w:tcPr>
          <w:p>
            <w:pPr>
              <w:jc w:val="center"/>
            </w:pPr>
            <w:r>
              <w:rPr/>
              <w:t xml:space="preserve">38 790 Kč</w:t>
            </w:r>
          </w:p>
        </w:tc>
        <w:tc>
          <w:tcPr>
            <w:tcW w:w="1000" w:type="dxa"/>
          </w:tcPr>
          <w:p>
            <w:pPr>
              <w:jc w:val="center"/>
            </w:pPr>
            <w:r>
              <w:rPr/>
              <w:t xml:space="preserve">59 831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29 265 Kč</w:t>
            </w:r>
          </w:p>
        </w:tc>
        <w:tc>
          <w:tcPr>
            <w:tcW w:w="1000" w:type="dxa"/>
          </w:tcPr>
          <w:p>
            <w:pPr>
              <w:jc w:val="center"/>
            </w:pPr>
            <w:r>
              <w:rPr/>
              <w:t xml:space="preserve">40 096 Kč</w:t>
            </w:r>
          </w:p>
        </w:tc>
        <w:tc>
          <w:tcPr>
            <w:tcW w:w="1000" w:type="dxa"/>
          </w:tcPr>
          <w:p>
            <w:pPr>
              <w:jc w:val="center"/>
            </w:pPr>
            <w:r>
              <w:rPr/>
              <w:t xml:space="preserve">62 319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27 959 Kč</w:t>
            </w:r>
          </w:p>
        </w:tc>
        <w:tc>
          <w:tcPr>
            <w:tcW w:w="1000" w:type="dxa"/>
          </w:tcPr>
          <w:p>
            <w:pPr>
              <w:jc w:val="center"/>
            </w:pPr>
            <w:r>
              <w:rPr/>
              <w:t xml:space="preserve">38 168 Kč</w:t>
            </w:r>
          </w:p>
        </w:tc>
        <w:tc>
          <w:tcPr>
            <w:tcW w:w="1000" w:type="dxa"/>
          </w:tcPr>
          <w:p>
            <w:pPr>
              <w:jc w:val="center"/>
            </w:pPr>
            <w:r>
              <w:rPr/>
              <w:t xml:space="preserve">61 486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28 061 Kč</w:t>
            </w:r>
          </w:p>
        </w:tc>
        <w:tc>
          <w:tcPr>
            <w:tcW w:w="1000" w:type="dxa"/>
          </w:tcPr>
          <w:p>
            <w:pPr>
              <w:jc w:val="center"/>
            </w:pPr>
            <w:r>
              <w:rPr/>
              <w:t xml:space="preserve">40 442 Kč</w:t>
            </w:r>
          </w:p>
        </w:tc>
        <w:tc>
          <w:tcPr>
            <w:tcW w:w="1000" w:type="dxa"/>
          </w:tcPr>
          <w:p>
            <w:pPr>
              <w:jc w:val="center"/>
            </w:pPr>
            <w:r>
              <w:rPr/>
              <w:t xml:space="preserve">64 402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28 908 Kč</w:t>
            </w:r>
          </w:p>
        </w:tc>
        <w:tc>
          <w:tcPr>
            <w:tcW w:w="1000" w:type="dxa"/>
          </w:tcPr>
          <w:p>
            <w:pPr>
              <w:jc w:val="center"/>
            </w:pPr>
            <w:r>
              <w:rPr/>
              <w:t xml:space="preserve">41 130 Kč</w:t>
            </w:r>
          </w:p>
        </w:tc>
        <w:tc>
          <w:tcPr>
            <w:tcW w:w="1000" w:type="dxa"/>
          </w:tcPr>
          <w:p>
            <w:pPr>
              <w:jc w:val="center"/>
            </w:pPr>
            <w:r>
              <w:rPr/>
              <w:t xml:space="preserve">61 316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26 292 Kč</w:t>
            </w:r>
          </w:p>
        </w:tc>
        <w:tc>
          <w:tcPr>
            <w:tcW w:w="1000" w:type="dxa"/>
          </w:tcPr>
          <w:p>
            <w:pPr>
              <w:jc w:val="center"/>
            </w:pPr>
            <w:r>
              <w:rPr/>
              <w:t xml:space="preserve">37 542 Kč</w:t>
            </w:r>
          </w:p>
        </w:tc>
        <w:tc>
          <w:tcPr>
            <w:tcW w:w="1000" w:type="dxa"/>
          </w:tcPr>
          <w:p>
            <w:pPr>
              <w:jc w:val="center"/>
            </w:pPr>
            <w:r>
              <w:rPr/>
              <w:t xml:space="preserve">60 060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28 678 Kč</w:t>
            </w:r>
          </w:p>
        </w:tc>
        <w:tc>
          <w:tcPr>
            <w:tcW w:w="1000" w:type="dxa"/>
          </w:tcPr>
          <w:p>
            <w:pPr>
              <w:jc w:val="center"/>
            </w:pPr>
            <w:r>
              <w:rPr/>
              <w:t xml:space="preserve">40 283 Kč</w:t>
            </w:r>
          </w:p>
        </w:tc>
        <w:tc>
          <w:tcPr>
            <w:tcW w:w="1000" w:type="dxa"/>
          </w:tcPr>
          <w:p>
            <w:pPr>
              <w:jc w:val="center"/>
            </w:pPr>
            <w:r>
              <w:rPr/>
              <w:t xml:space="preserve">61 864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3312</w:t>
            </w:r>
          </w:p>
        </w:tc>
        <w:tc>
          <w:tcPr>
            <w:tcW w:w="2000" w:type="dxa"/>
          </w:tcPr>
          <w:p>
            <w:pPr/>
            <w:r>
              <w:rPr/>
              <w:t xml:space="preserve">Odborní pracovníci v oblasti peněžnictví</w:t>
            </w:r>
          </w:p>
        </w:tc>
        <w:tc>
          <w:tcPr>
            <w:tcW w:w="1000" w:type="dxa"/>
          </w:tcPr>
          <w:p>
            <w:pPr>
              <w:jc w:val="center"/>
            </w:pPr>
            <w:r>
              <w:rPr/>
              <w:t xml:space="preserve">42 133 Kč</w:t>
            </w:r>
          </w:p>
        </w:tc>
        <w:tc>
          <w:tcPr>
            <w:tcW w:w="1000" w:type="dxa"/>
          </w:tcPr>
          <w:p>
            <w:pPr>
              <w:jc w:val="center"/>
            </w:pPr>
            <w:r>
              <w:rPr/>
              <w:t xml:space="preserve">42 591 Kč</w:t>
            </w:r>
          </w:p>
        </w:tc>
      </w:tr>
      <w:tr>
        <w:trPr/>
        <w:tc>
          <w:tcPr>
            <w:tcW w:w="1000" w:type="dxa"/>
          </w:tcPr>
          <w:p>
            <w:pPr>
              <w:jc w:val="center"/>
            </w:pPr>
            <w:r>
              <w:rPr/>
              <w:t xml:space="preserve">33129</w:t>
            </w:r>
          </w:p>
        </w:tc>
        <w:tc>
          <w:tcPr>
            <w:tcW w:w="2000" w:type="dxa"/>
          </w:tcPr>
          <w:p>
            <w:pPr/>
            <w:r>
              <w:rPr/>
              <w:t xml:space="preserve">Ostatní odborní pracovníci v oblasti peněžnictví</w:t>
            </w:r>
          </w:p>
        </w:tc>
        <w:tc>
          <w:tcPr>
            <w:tcW w:w="1000" w:type="dxa"/>
          </w:tcPr>
          <w:p>
            <w:pPr>
              <w:jc w:val="center"/>
            </w:pPr>
            <w:r>
              <w:rPr/>
              <w:t xml:space="preserve">-</w:t>
            </w:r>
          </w:p>
        </w:tc>
        <w:tc>
          <w:tcPr>
            <w:tcW w:w="1000" w:type="dxa"/>
          </w:tcPr>
          <w:p>
            <w:pPr>
              <w:jc w:val="center"/>
            </w:pPr>
            <w:r>
              <w:rPr/>
              <w:t xml:space="preserve">47 123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ekonomika a management</w:t>
            </w:r>
          </w:p>
        </w:tc>
        <w:tc>
          <w:tcPr>
            <w:tcW w:w="2000" w:type="dxa"/>
          </w:tcPr>
          <w:p>
            <w:pPr>
              <w:jc w:val="center"/>
            </w:pPr>
            <w:r>
              <w:rPr/>
              <w:t xml:space="preserve">6208R</w:t>
            </w:r>
          </w:p>
        </w:tc>
      </w:tr>
      <w:tr>
        <w:trPr/>
        <w:tc>
          <w:tcPr>
            <w:tcW w:w="2000" w:type="dxa"/>
          </w:tcPr>
          <w:p>
            <w:pPr>
              <w:jc w:val="center"/>
            </w:pPr>
            <w:r>
              <w:rPr/>
              <w:t xml:space="preserve">KKOV</w:t>
            </w:r>
          </w:p>
        </w:tc>
        <w:tc>
          <w:tcPr>
            <w:tcW w:w="5000" w:type="dxa"/>
          </w:tcPr>
          <w:p>
            <w:pPr/>
            <w:r>
              <w:rPr/>
              <w:t xml:space="preserve">Vyšší odborné vzdělání v oboru finančnictví a bankovnictví</w:t>
            </w:r>
          </w:p>
        </w:tc>
        <w:tc>
          <w:tcPr>
            <w:tcW w:w="2000" w:type="dxa"/>
          </w:tcPr>
          <w:p>
            <w:pPr>
              <w:jc w:val="center"/>
            </w:pPr>
            <w:r>
              <w:rPr/>
              <w:t xml:space="preserve">6343N</w:t>
            </w:r>
          </w:p>
        </w:tc>
      </w:tr>
      <w:tr>
        <w:trPr/>
        <w:tc>
          <w:tcPr>
            <w:tcW w:w="2000" w:type="dxa"/>
          </w:tcPr>
          <w:p>
            <w:pPr>
              <w:jc w:val="center"/>
            </w:pPr>
            <w:r>
              <w:rPr/>
              <w:t xml:space="preserve">RVP</w:t>
            </w:r>
          </w:p>
        </w:tc>
        <w:tc>
          <w:tcPr>
            <w:tcW w:w="5000" w:type="dxa"/>
          </w:tcPr>
          <w:p>
            <w:pPr/>
            <w:r>
              <w:rPr/>
              <w:t xml:space="preserve">Finančnictví a bankovnictví</w:t>
            </w:r>
          </w:p>
        </w:tc>
        <w:tc>
          <w:tcPr>
            <w:tcW w:w="2000" w:type="dxa"/>
          </w:tcPr>
          <w:p>
            <w:pPr>
              <w:jc w:val="center"/>
            </w:pPr>
            <w:r>
              <w:rPr/>
              <w:t xml:space="preserve">63-43-N/xx</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ekonomické teorie</w:t>
            </w:r>
          </w:p>
        </w:tc>
        <w:tc>
          <w:tcPr>
            <w:tcW w:w="2000" w:type="dxa"/>
          </w:tcPr>
          <w:p>
            <w:pPr>
              <w:jc w:val="center"/>
            </w:pPr>
            <w:r>
              <w:rPr/>
              <w:t xml:space="preserve">6201R</w:t>
            </w:r>
          </w:p>
        </w:tc>
      </w:tr>
      <w:tr>
        <w:trPr/>
        <w:tc>
          <w:tcPr>
            <w:tcW w:w="2000" w:type="dxa"/>
          </w:tcPr>
          <w:p>
            <w:pPr>
              <w:jc w:val="center"/>
            </w:pPr>
            <w:r>
              <w:rPr/>
              <w:t xml:space="preserve">KKOV</w:t>
            </w:r>
          </w:p>
        </w:tc>
        <w:tc>
          <w:tcPr>
            <w:tcW w:w="5000" w:type="dxa"/>
          </w:tcPr>
          <w:p>
            <w:pPr/>
            <w:r>
              <w:rPr/>
              <w:t xml:space="preserve">Bakalářský studijní program v oboru strojírenství se zaměřením na ekonomiku a řízení</w:t>
            </w:r>
          </w:p>
        </w:tc>
        <w:tc>
          <w:tcPr>
            <w:tcW w:w="2000" w:type="dxa"/>
          </w:tcPr>
          <w:p>
            <w:pPr>
              <w:jc w:val="center"/>
            </w:pPr>
            <w:r>
              <w:rPr/>
              <w:t xml:space="preserve">2305R</w:t>
            </w:r>
          </w:p>
        </w:tc>
      </w:tr>
      <w:tr>
        <w:trPr/>
        <w:tc>
          <w:tcPr>
            <w:tcW w:w="2000" w:type="dxa"/>
          </w:tcPr>
          <w:p>
            <w:pPr>
              <w:jc w:val="center"/>
            </w:pPr>
            <w:r>
              <w:rPr/>
              <w:t xml:space="preserve">KKOV</w:t>
            </w:r>
          </w:p>
        </w:tc>
        <w:tc>
          <w:tcPr>
            <w:tcW w:w="5000" w:type="dxa"/>
          </w:tcPr>
          <w:p>
            <w:pPr/>
            <w:r>
              <w:rPr/>
              <w:t xml:space="preserve">Vyšší odborné vzdělání v oboru management</w:t>
            </w:r>
          </w:p>
        </w:tc>
        <w:tc>
          <w:tcPr>
            <w:tcW w:w="2000" w:type="dxa"/>
          </w:tcPr>
          <w:p>
            <w:pPr>
              <w:jc w:val="center"/>
            </w:pPr>
            <w:r>
              <w:rPr/>
              <w:t xml:space="preserve">6431N</w:t>
            </w:r>
          </w:p>
        </w:tc>
      </w:tr>
      <w:tr>
        <w:trPr/>
        <w:tc>
          <w:tcPr>
            <w:tcW w:w="2000" w:type="dxa"/>
          </w:tcPr>
          <w:p>
            <w:pPr>
              <w:jc w:val="center"/>
            </w:pPr>
            <w:r>
              <w:rPr/>
              <w:t xml:space="preserve">KKOV</w:t>
            </w:r>
          </w:p>
        </w:tc>
        <w:tc>
          <w:tcPr>
            <w:tcW w:w="5000" w:type="dxa"/>
          </w:tcPr>
          <w:p>
            <w:pPr/>
            <w:r>
              <w:rPr/>
              <w:t xml:space="preserve">Vyšší odborné vzdělání v oboru ekonomika a podnikání</w:t>
            </w:r>
          </w:p>
        </w:tc>
        <w:tc>
          <w:tcPr>
            <w:tcW w:w="2000" w:type="dxa"/>
          </w:tcPr>
          <w:p>
            <w:pPr>
              <w:jc w:val="center"/>
            </w:pPr>
            <w:r>
              <w:rPr/>
              <w:t xml:space="preserve">6341N</w:t>
            </w:r>
          </w:p>
        </w:tc>
      </w:tr>
      <w:tr>
        <w:trPr/>
        <w:tc>
          <w:tcPr>
            <w:tcW w:w="2000" w:type="dxa"/>
          </w:tcPr>
          <w:p>
            <w:pPr>
              <w:jc w:val="center"/>
            </w:pPr>
            <w:r>
              <w:rPr/>
              <w:t xml:space="preserve">KKOV</w:t>
            </w:r>
          </w:p>
        </w:tc>
        <w:tc>
          <w:tcPr>
            <w:tcW w:w="5000" w:type="dxa"/>
          </w:tcPr>
          <w:p>
            <w:pPr/>
            <w:r>
              <w:rPr/>
              <w:t xml:space="preserve">Bakalářský studijní program v oboru ekonomika a řízení v dopravě a spojích</w:t>
            </w:r>
          </w:p>
        </w:tc>
        <w:tc>
          <w:tcPr>
            <w:tcW w:w="2000" w:type="dxa"/>
          </w:tcPr>
          <w:p>
            <w:pPr>
              <w:jc w:val="center"/>
            </w:pPr>
            <w:r>
              <w:rPr/>
              <w:t xml:space="preserve">3707R</w:t>
            </w:r>
          </w:p>
        </w:tc>
      </w:tr>
      <w:tr>
        <w:trPr/>
        <w:tc>
          <w:tcPr>
            <w:tcW w:w="2000" w:type="dxa"/>
          </w:tcPr>
          <w:p>
            <w:pPr>
              <w:jc w:val="center"/>
            </w:pPr>
            <w:r>
              <w:rPr/>
              <w:t xml:space="preserve">KKOV</w:t>
            </w:r>
          </w:p>
        </w:tc>
        <w:tc>
          <w:tcPr>
            <w:tcW w:w="5000" w:type="dxa"/>
          </w:tcPr>
          <w:p>
            <w:pPr/>
            <w:r>
              <w:rPr/>
              <w:t xml:space="preserve">Bakalářský studijní program ve skupině oborů ekonomie</w:t>
            </w:r>
          </w:p>
        </w:tc>
        <w:tc>
          <w:tcPr>
            <w:tcW w:w="2000" w:type="dxa"/>
          </w:tcPr>
          <w:p>
            <w:pPr>
              <w:jc w:val="center"/>
            </w:pPr>
            <w:r>
              <w:rPr/>
              <w:t xml:space="preserve">62xxR</w:t>
            </w:r>
          </w:p>
        </w:tc>
      </w:tr>
      <w:tr>
        <w:trPr/>
        <w:tc>
          <w:tcPr>
            <w:tcW w:w="2000" w:type="dxa"/>
          </w:tcPr>
          <w:p>
            <w:pPr>
              <w:jc w:val="center"/>
            </w:pPr>
            <w:r>
              <w:rPr/>
              <w:t xml:space="preserve">KKOV</w:t>
            </w:r>
          </w:p>
        </w:tc>
        <w:tc>
          <w:tcPr>
            <w:tcW w:w="5000" w:type="dxa"/>
          </w:tcPr>
          <w:p>
            <w:pPr/>
            <w:r>
              <w:rPr/>
              <w:t xml:space="preserve">Bakalářský studijní program v oboru ekonomika a řízení zdravotnictví</w:t>
            </w:r>
          </w:p>
        </w:tc>
        <w:tc>
          <w:tcPr>
            <w:tcW w:w="2000" w:type="dxa"/>
          </w:tcPr>
          <w:p>
            <w:pPr>
              <w:jc w:val="center"/>
            </w:pPr>
            <w:r>
              <w:rPr/>
              <w:t xml:space="preserve">5346R</w:t>
            </w:r>
          </w:p>
        </w:tc>
      </w:tr>
      <w:tr>
        <w:trPr/>
        <w:tc>
          <w:tcPr>
            <w:tcW w:w="2000" w:type="dxa"/>
          </w:tcPr>
          <w:p>
            <w:pPr>
              <w:jc w:val="center"/>
            </w:pPr>
            <w:r>
              <w:rPr/>
              <w:t xml:space="preserve">KKOV</w:t>
            </w:r>
          </w:p>
        </w:tc>
        <w:tc>
          <w:tcPr>
            <w:tcW w:w="5000" w:type="dxa"/>
          </w:tcPr>
          <w:p>
            <w:pPr/>
            <w:r>
              <w:rPr/>
              <w:t xml:space="preserve">Bakalářský studijní program v oboru elektrotechnika se zaměřením na ekonomiku a řízení</w:t>
            </w:r>
          </w:p>
        </w:tc>
        <w:tc>
          <w:tcPr>
            <w:tcW w:w="2000" w:type="dxa"/>
          </w:tcPr>
          <w:p>
            <w:pPr>
              <w:jc w:val="center"/>
            </w:pPr>
            <w:r>
              <w:rPr/>
              <w:t xml:space="preserve">2608R</w:t>
            </w:r>
          </w:p>
        </w:tc>
      </w:tr>
      <w:tr>
        <w:trPr/>
        <w:tc>
          <w:tcPr>
            <w:tcW w:w="2000" w:type="dxa"/>
          </w:tcPr>
          <w:p>
            <w:pPr>
              <w:jc w:val="center"/>
            </w:pPr>
            <w:r>
              <w:rPr/>
              <w:t xml:space="preserve">KKOV</w:t>
            </w:r>
          </w:p>
        </w:tc>
        <w:tc>
          <w:tcPr>
            <w:tcW w:w="5000" w:type="dxa"/>
          </w:tcPr>
          <w:p>
            <w:pPr/>
            <w:r>
              <w:rPr/>
              <w:t xml:space="preserve">Bakalářský studijní program v oboru kvantitativní metody v ekonomice</w:t>
            </w:r>
          </w:p>
        </w:tc>
        <w:tc>
          <w:tcPr>
            <w:tcW w:w="2000" w:type="dxa"/>
          </w:tcPr>
          <w:p>
            <w:pPr>
              <w:jc w:val="center"/>
            </w:pPr>
            <w:r>
              <w:rPr/>
              <w:t xml:space="preserve">6207R</w:t>
            </w:r>
          </w:p>
        </w:tc>
      </w:tr>
    </w:tbl>
    <w:p>
      <w:pPr>
        <w:pStyle w:val="Heading3"/>
      </w:pPr>
      <w:bookmarkStart w:id="12" w:name="_Toc12"/>
      <w:r>
        <w:t>Legislativní požadavky</w:t>
      </w:r>
      <w:bookmarkEnd w:id="12"/>
    </w:p>
    <w:p>
      <w:pPr>
        <w:numPr>
          <w:ilvl w:val="0"/>
          <w:numId w:val="5"/>
        </w:numPr>
      </w:pPr>
      <w:r>
        <w:rPr/>
        <w:t xml:space="preserve">povinné - Činnosti investičního zprostředkovatele (osvědčení o registraci) podle § 30 zákona č. 256/2004 Sb., o podnikání na kapitálovém trhu</w:t>
      </w:r>
    </w:p>
    <w:p/>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i13.D.3451</w:t>
            </w:r>
          </w:p>
        </w:tc>
        <w:tc>
          <w:tcPr>
            <w:tcW w:w="3000" w:type="dxa"/>
          </w:tcPr>
          <w:p>
            <w:pPr/>
            <w:r>
              <w:rPr/>
              <w:t xml:space="preserve">Kontrola průběhu platebních operací při primárních emisích cenných papírů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i13.D.3452</w:t>
            </w:r>
          </w:p>
        </w:tc>
        <w:tc>
          <w:tcPr>
            <w:tcW w:w="3000" w:type="dxa"/>
          </w:tcPr>
          <w:p>
            <w:pPr/>
            <w:r>
              <w:rPr/>
              <w:t xml:space="preserve">Posuzování a zpracovávání stanovisek k žádostem emitentů na přípravu a umístění emisí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i13.D.5451</w:t>
            </w:r>
          </w:p>
        </w:tc>
        <w:tc>
          <w:tcPr>
            <w:tcW w:w="3000" w:type="dxa"/>
          </w:tcPr>
          <w:p>
            <w:pPr/>
            <w:r>
              <w:rPr/>
              <w:t xml:space="preserve">Vyhodnocování výsledků umístění cenných papírů na kapitálovém trhu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i13.D.8454</w:t>
            </w:r>
          </w:p>
        </w:tc>
        <w:tc>
          <w:tcPr>
            <w:tcW w:w="3000" w:type="dxa"/>
          </w:tcPr>
          <w:p>
            <w:pPr/>
            <w:r>
              <w:rPr/>
              <w:t xml:space="preserve">Zpracovávání podkladů k primárním emisím cenných papírů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i13.D.8455</w:t>
            </w:r>
          </w:p>
        </w:tc>
        <w:tc>
          <w:tcPr>
            <w:tcW w:w="3000" w:type="dxa"/>
          </w:tcPr>
          <w:p>
            <w:pPr/>
            <w:r>
              <w:rPr/>
              <w:t xml:space="preserve">Vedení požadovaných agend a evidencí o kapitálovém trhu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i13.C.1451</w:t>
            </w:r>
          </w:p>
        </w:tc>
        <w:tc>
          <w:tcPr>
            <w:tcW w:w="3000" w:type="dxa"/>
          </w:tcPr>
          <w:p>
            <w:pPr/>
            <w:r>
              <w:rPr/>
              <w:t xml:space="preserve">Poskytování poradenské a konzultační služby pro klienty, a to především v oblasti obchodování s cennými papíry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i13.C.2452</w:t>
            </w:r>
          </w:p>
        </w:tc>
        <w:tc>
          <w:tcPr>
            <w:tcW w:w="3000" w:type="dxa"/>
          </w:tcPr>
          <w:p>
            <w:pPr/>
            <w:r>
              <w:rPr/>
              <w:t xml:space="preserve">Vyhledávání a získávání mandátů od významných a bonitních klientů pro oblasti finančního poradenství, projektového financování, fúzí a akvizicí, primárních emisí cenných papírů, depozitních služeb a správy portfolia a v oblasti obchodování s cennými papíry na sekundárním trhu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i13.C.2454</w:t>
            </w:r>
          </w:p>
        </w:tc>
        <w:tc>
          <w:tcPr>
            <w:tcW w:w="3000" w:type="dxa"/>
          </w:tcPr>
          <w:p>
            <w:pPr/>
            <w:r>
              <w:rPr/>
              <w:t xml:space="preserve">Zajišťování zprostředkovatelské služby pro klienty v oblasti obchodování s cennými papíry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i13.C.2453</w:t>
            </w:r>
          </w:p>
        </w:tc>
        <w:tc>
          <w:tcPr>
            <w:tcW w:w="3000" w:type="dxa"/>
          </w:tcPr>
          <w:p>
            <w:pPr/>
            <w:r>
              <w:rPr/>
              <w:t xml:space="preserve">Zajišťování výplat výnosů a jistin z cenných papírů</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i13._.0044</w:t>
            </w:r>
          </w:p>
        </w:tc>
        <w:tc>
          <w:tcPr>
            <w:tcW w:w="3000" w:type="dxa"/>
          </w:tcPr>
          <w:p>
            <w:pPr/>
            <w:r>
              <w:rPr/>
              <w:t xml:space="preserve">principy obchodování s cennými papíry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i13._.0045</w:t>
            </w:r>
          </w:p>
        </w:tc>
        <w:tc>
          <w:tcPr>
            <w:tcW w:w="3000" w:type="dxa"/>
          </w:tcPr>
          <w:p>
            <w:pPr/>
            <w:r>
              <w:rPr/>
              <w:t xml:space="preserve">kapitálové trhy, makléřská činnost</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6" w:name="_Toc16"/>
      <w:r>
        <w:t>Zdravotní podmínky</w:t>
      </w:r>
      <w:bookmarkEnd w:id="16"/>
    </w:p>
    <w:p>
      <w:pPr>
        <w:pStyle w:val="Heading3"/>
      </w:pPr>
      <w:bookmarkStart w:id="17" w:name="_Toc17"/>
      <w:r>
        <w:t>Onemocnění omezující výkon povolání / specializace povolání.</w:t>
      </w:r>
      <w:bookmarkEnd w:id="17"/>
    </w:p>
    <w:p>
      <w:pPr>
        <w:numPr>
          <w:ilvl w:val="0"/>
          <w:numId w:val="5"/>
        </w:numPr>
      </w:pPr>
      <w:r>
        <w:rPr/>
        <w:t xml:space="preserve">Závažná endokrinní onemocnění</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8" w:name="_Toc18"/>
      <w:r>
        <w:t>Onemocnění vylučující výkon povolání / specializace povolání.e</w:t>
      </w:r>
      <w:bookmarkEnd w:id="18"/>
    </w:p>
    <w:p>
      <w:pPr>
        <w:numPr>
          <w:ilvl w:val="0"/>
          <w:numId w:val="5"/>
        </w:numPr>
      </w:pPr>
      <w:r>
        <w:rPr/>
        <w:t xml:space="preserve">Prognosticky závažné poruchy vidění</w:t>
      </w:r>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9F761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Samostatný pracovník kapitálových obchodů</dc:title>
  <dc:description>Samostatný pracovník kapitálových obchodů provádí zabezpečování obchodů a služeb investičního bankovnictví a činností souvisejících s operacemi na primárním a sekundárním trhu s cennými papíry včetně administrace.</dc:description>
  <dc:subject/>
  <cp:keywords/>
  <cp:category>Specializace</cp:category>
  <cp:lastModifiedBy/>
  <dcterms:created xsi:type="dcterms:W3CDTF">2017-11-22T09:07:38+01:00</dcterms:created>
  <dcterms:modified xsi:type="dcterms:W3CDTF">2024-03-26T09:57:40+01:00</dcterms:modified>
</cp:coreProperties>
</file>

<file path=docProps/custom.xml><?xml version="1.0" encoding="utf-8"?>
<Properties xmlns="http://schemas.openxmlformats.org/officeDocument/2006/custom-properties" xmlns:vt="http://schemas.openxmlformats.org/officeDocument/2006/docPropsVTypes"/>
</file>