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Referent specialista ostatního výkonu státní správy územního plánování</w:t>
      </w:r>
      <w:bookmarkEnd w:id="1"/>
    </w:p>
    <w:p>
      <w:pPr/>
      <w:r>
        <w:rPr/>
        <w:t xml:space="preserve">Referent specialista ostatního výkonu státní správy územního plánování vytváří, navrhuje a koordinuje kontrolní systémy a koordinuje a usměrňuje zabezpečování úkolů územního plánování na všech úrovních úřadů. </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Povolání vyřazená z kategorického třídění pro svoji neaktuálnost</w:t>
            </w:r>
          </w:p>
        </w:tc>
      </w:tr>
      <w:tr>
        <w:trPr/>
        <w:tc>
          <w:tcPr/>
          <w:p>
            <w:pPr/>
            <w:r>
              <w:rPr>
                <w:b w:val="1"/>
                <w:bCs w:val="1"/>
              </w:rPr>
              <w:t xml:space="preserve">Odborný podsměr:</w:t>
            </w:r>
          </w:p>
        </w:tc>
        <w:tc>
          <w:tcPr/>
          <w:p>
            <w:pPr/>
            <w:r>
              <w:rPr/>
              <w:t xml:space="preserve">státní správa</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Administrativní pracovník, Referent stavebního řádu, Úředník</w:t>
            </w:r>
          </w:p>
        </w:tc>
      </w:tr>
      <w:tr>
        <w:trPr/>
        <w:tc>
          <w:tcPr/>
          <w:p>
            <w:pPr/>
            <w:r>
              <w:rPr>
                <w:b w:val="1"/>
                <w:bCs w:val="1"/>
              </w:rPr>
              <w:t xml:space="preserve">Nadřízené povolání:</w:t>
            </w:r>
          </w:p>
        </w:tc>
        <w:tc>
          <w:tcPr/>
          <w:p>
            <w:pPr/>
            <w:r>
              <w:rPr/>
              <w:t xml:space="preserve">Referent specialista územního plánování</w:t>
            </w:r>
          </w:p>
        </w:tc>
      </w:tr>
      <w:tr>
        <w:trPr/>
        <w:tc>
          <w:tcPr/>
          <w:p>
            <w:pPr/>
            <w:r>
              <w:rPr>
                <w:b w:val="1"/>
                <w:bCs w:val="1"/>
              </w:rPr>
              <w:t xml:space="preserve">Příbuzné specializace:</w:t>
            </w:r>
          </w:p>
        </w:tc>
        <w:tc>
          <w:tcPr/>
          <w:p>
            <w:pPr/>
            <w:r>
              <w:rPr/>
              <w:t xml:space="preserve">Referent specialista ostatního výkonu státní správy územního plánování, Referent specialista koncepcí rozvoje územního plánování, Referent specialista územně plánovacích podkladů, Referent specialista územně plánovací dokumentace, Referent specialista ostatního výkonu státní správy územního plánování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Tvorba celostátního systému kontroly činností, vykonávaných státní správou na úseku územního plánování.</w:t>
      </w:r>
    </w:p>
    <w:p>
      <w:pPr>
        <w:numPr>
          <w:ilvl w:val="0"/>
          <w:numId w:val="5"/>
        </w:numPr>
      </w:pPr>
      <w:r>
        <w:rPr/>
        <w:t xml:space="preserve">Vypracovávání návrhů právních předpisů po věcné stránce tzn. přípravu věcných záměrů zákonů, návrhy zákonů a jiných právních předpisů a směrnic.</w:t>
      </w:r>
    </w:p>
    <w:p>
      <w:pPr>
        <w:numPr>
          <w:ilvl w:val="0"/>
          <w:numId w:val="5"/>
        </w:numPr>
      </w:pPr>
      <w:r>
        <w:rPr/>
        <w:t xml:space="preserve">Vypracovávání stanovisek k návrhům právních předpisů jiných ústředních orgánů.</w:t>
      </w:r>
    </w:p>
    <w:p>
      <w:pPr>
        <w:numPr>
          <w:ilvl w:val="0"/>
          <w:numId w:val="5"/>
        </w:numPr>
      </w:pPr>
      <w:r>
        <w:rPr/>
        <w:t xml:space="preserve">Zajišťování podkladů, zpracovávání analýz účinnosti a tvorba následných metodických doporučení pro po usměrňování a sjednocování výkonu činností orgánů územního plánování .</w:t>
      </w:r>
    </w:p>
    <w:p>
      <w:pPr>
        <w:numPr>
          <w:ilvl w:val="0"/>
          <w:numId w:val="5"/>
        </w:numPr>
      </w:pPr>
      <w:r>
        <w:rPr/>
        <w:t xml:space="preserve">Koordinace a zabezpečování kontroly orgánů územního plánování.</w:t>
      </w:r>
    </w:p>
    <w:p>
      <w:pPr>
        <w:numPr>
          <w:ilvl w:val="0"/>
          <w:numId w:val="5"/>
        </w:numPr>
      </w:pPr>
      <w:r>
        <w:rPr/>
        <w:t xml:space="preserve">Vydávání územně plánovací informace.</w:t>
      </w:r>
    </w:p>
    <w:p/>
    <w:p>
      <w:pPr>
        <w:pStyle w:val="Heading2"/>
      </w:pPr>
      <w:bookmarkStart w:id="3" w:name="_Toc3"/>
      <w:r>
        <w:t>CZ-ISCO</w:t>
      </w:r>
      <w:bookmarkEnd w:id="3"/>
    </w:p>
    <w:p>
      <w:pPr>
        <w:numPr>
          <w:ilvl w:val="0"/>
          <w:numId w:val="5"/>
        </w:numPr>
      </w:pPr>
      <w:r>
        <w:rPr/>
        <w:t xml:space="preserve">Specialisté v oblasti územního a dopravního plánování</w:t>
      </w:r>
    </w:p>
    <w:p>
      <w:pPr>
        <w:numPr>
          <w:ilvl w:val="0"/>
          <w:numId w:val="5"/>
        </w:numPr>
      </w:pPr>
      <w:r>
        <w:rPr/>
        <w:t xml:space="preserve">Specialisté v oblasti územního a dopravního plánování</w:t>
      </w:r>
    </w:p>
    <w:p/>
    <w:p>
      <w:pPr>
        <w:pStyle w:val="Heading3"/>
      </w:pPr>
      <w:bookmarkStart w:id="4" w:name="_Toc4"/>
      <w:r>
        <w:t>Hrubé měsíční mzdy v roce 2020 celkem</w:t>
      </w:r>
      <w:bookmarkEnd w:id="4"/>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2164</w:t>
            </w:r>
          </w:p>
        </w:tc>
        <w:tc>
          <w:tcPr>
            <w:tcW w:w="2000" w:type="dxa"/>
          </w:tcPr>
          <w:p>
            <w:pPr/>
            <w:r>
              <w:rPr/>
              <w:t xml:space="preserve">Specialisté v oblasti územního a dopravního plánování</w:t>
            </w:r>
          </w:p>
        </w:tc>
        <w:tc>
          <w:tcPr>
            <w:tcW w:w="1000" w:type="dxa"/>
          </w:tcPr>
          <w:p>
            <w:pPr>
              <w:jc w:val="center"/>
            </w:pPr>
            <w:r>
              <w:rPr/>
              <w:t xml:space="preserve">42 207 Kč</w:t>
            </w:r>
          </w:p>
        </w:tc>
        <w:tc>
          <w:tcPr>
            <w:tcW w:w="1000" w:type="dxa"/>
          </w:tcPr>
          <w:p>
            <w:pPr>
              <w:jc w:val="center"/>
            </w:pPr>
            <w:r>
              <w:rPr/>
              <w:t xml:space="preserve">-</w:t>
            </w:r>
          </w:p>
        </w:tc>
      </w:tr>
    </w:tbl>
    <w:p/>
    <w:p>
      <w:pPr>
        <w:pStyle w:val="Heading2"/>
      </w:pPr>
      <w:bookmarkStart w:id="5" w:name="_Toc5"/>
      <w:r>
        <w:t>Příklady činností</w:t>
      </w:r>
      <w:bookmarkEnd w:id="5"/>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Samostatné pořizování a posuzování územně plánovací dokumentace a územně plánovacích podkladů včetně kontroly.</w:t>
            </w:r>
          </w:p>
        </w:tc>
        <w:tc>
          <w:tcPr>
            <w:tcW w:w="2000" w:type="dxa"/>
          </w:tcPr>
          <w:p>
            <w:pPr>
              <w:jc w:val="center"/>
            </w:pPr>
            <w:r>
              <w:rPr/>
              <w:t xml:space="preserve">10</w:t>
            </w:r>
          </w:p>
        </w:tc>
      </w:tr>
      <w:tr>
        <w:trPr/>
        <w:tc>
          <w:tcPr>
            <w:tcW w:w="7000" w:type="dxa"/>
          </w:tcPr>
          <w:p>
            <w:pPr/>
            <w:r>
              <w:rPr/>
              <w:t xml:space="preserve">Koordinace a usměrňování výkonu státní správy stavebními úřady na úseku územního plánování a stavebního řádu včetně výkonu státního stavebního dohledu.</w:t>
            </w:r>
          </w:p>
        </w:tc>
        <w:tc>
          <w:tcPr>
            <w:tcW w:w="2000" w:type="dxa"/>
          </w:tcPr>
          <w:p>
            <w:pPr>
              <w:jc w:val="center"/>
            </w:pPr>
            <w:r>
              <w:rPr/>
              <w:t xml:space="preserve">10</w:t>
            </w:r>
          </w:p>
        </w:tc>
      </w:tr>
    </w:tbl>
    <w:p/>
    <w:p>
      <w:pPr>
        <w:pStyle w:val="Heading2"/>
      </w:pPr>
      <w:bookmarkStart w:id="6" w:name="_Toc6"/>
      <w:r>
        <w:t>Pracovní podmínky</w:t>
      </w:r>
      <w:bookmarkEnd w:id="6"/>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7" w:name="_Toc7"/>
      <w:r>
        <w:t>Kvalifikace k výkonu povolání</w:t>
      </w:r>
      <w:bookmarkEnd w:id="7"/>
    </w:p>
    <w:p>
      <w:pPr>
        <w:pStyle w:val="Heading3"/>
      </w:pPr>
      <w:bookmarkStart w:id="8" w:name="_Toc8"/>
      <w:r>
        <w:t>Školní vzdělání</w:t>
      </w:r>
      <w:bookmarkEnd w:id="8"/>
    </w:p>
    <w:p/>
    <w:p>
      <w:pPr>
        <w:pStyle w:val="Heading4"/>
      </w:pPr>
      <w:bookmarkStart w:id="9" w:name="_Toc9"/>
      <w:r>
        <w:t>Nejvhodnější školní přípravu poskytují obory:</w:t>
      </w:r>
      <w:bookmarkEnd w:id="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pozemní stavby a architektura</w:t>
            </w:r>
          </w:p>
        </w:tc>
        <w:tc>
          <w:tcPr>
            <w:tcW w:w="2000" w:type="dxa"/>
          </w:tcPr>
          <w:p>
            <w:pPr>
              <w:jc w:val="center"/>
            </w:pPr>
            <w:r>
              <w:rPr/>
              <w:t xml:space="preserve">3608T</w:t>
            </w:r>
          </w:p>
        </w:tc>
      </w:tr>
    </w:tbl>
    <w:p/>
    <w:p>
      <w:pPr>
        <w:pStyle w:val="Heading4"/>
      </w:pPr>
      <w:bookmarkStart w:id="10" w:name="_Toc10"/>
      <w:r>
        <w:t>Vhodnou školní přípravu poskytují také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stavební inženýrství</w:t>
            </w:r>
          </w:p>
        </w:tc>
        <w:tc>
          <w:tcPr>
            <w:tcW w:w="2000" w:type="dxa"/>
          </w:tcPr>
          <w:p>
            <w:pPr>
              <w:jc w:val="center"/>
            </w:pPr>
            <w:r>
              <w:rPr/>
              <w:t xml:space="preserve">3607T</w:t>
            </w:r>
          </w:p>
        </w:tc>
      </w:tr>
      <w:tr>
        <w:trPr/>
        <w:tc>
          <w:tcPr>
            <w:tcW w:w="2000" w:type="dxa"/>
          </w:tcPr>
          <w:p>
            <w:pPr>
              <w:jc w:val="center"/>
            </w:pPr>
            <w:r>
              <w:rPr/>
              <w:t xml:space="preserve">KKOV</w:t>
            </w:r>
          </w:p>
        </w:tc>
        <w:tc>
          <w:tcPr>
            <w:tcW w:w="5000" w:type="dxa"/>
          </w:tcPr>
          <w:p>
            <w:pPr/>
            <w:r>
              <w:rPr/>
              <w:t xml:space="preserve">Magisterský studijní program v oboru architektura a urbanismus</w:t>
            </w:r>
          </w:p>
        </w:tc>
        <w:tc>
          <w:tcPr>
            <w:tcW w:w="2000" w:type="dxa"/>
          </w:tcPr>
          <w:p>
            <w:pPr>
              <w:jc w:val="center"/>
            </w:pPr>
            <w:r>
              <w:rPr/>
              <w:t xml:space="preserve">3501T</w:t>
            </w:r>
          </w:p>
        </w:tc>
      </w:tr>
      <w:tr>
        <w:trPr/>
        <w:tc>
          <w:tcPr>
            <w:tcW w:w="2000" w:type="dxa"/>
          </w:tcPr>
          <w:p>
            <w:pPr>
              <w:jc w:val="center"/>
            </w:pPr>
            <w:r>
              <w:rPr/>
              <w:t xml:space="preserve">KKOV</w:t>
            </w:r>
          </w:p>
        </w:tc>
        <w:tc>
          <w:tcPr>
            <w:tcW w:w="5000" w:type="dxa"/>
          </w:tcPr>
          <w:p>
            <w:pPr/>
            <w:r>
              <w:rPr/>
              <w:t xml:space="preserve">Bakalářský studijní program v oboru architektura a urbanismus</w:t>
            </w:r>
          </w:p>
        </w:tc>
        <w:tc>
          <w:tcPr>
            <w:tcW w:w="2000" w:type="dxa"/>
          </w:tcPr>
          <w:p>
            <w:pPr>
              <w:jc w:val="center"/>
            </w:pPr>
            <w:r>
              <w:rPr/>
              <w:t xml:space="preserve">3501R</w:t>
            </w:r>
          </w:p>
        </w:tc>
      </w:tr>
      <w:tr>
        <w:trPr/>
        <w:tc>
          <w:tcPr>
            <w:tcW w:w="2000" w:type="dxa"/>
          </w:tcPr>
          <w:p>
            <w:pPr>
              <w:jc w:val="center"/>
            </w:pPr>
            <w:r>
              <w:rPr/>
              <w:t xml:space="preserve">KKOV</w:t>
            </w:r>
          </w:p>
        </w:tc>
        <w:tc>
          <w:tcPr>
            <w:tcW w:w="5000" w:type="dxa"/>
          </w:tcPr>
          <w:p>
            <w:pPr/>
            <w:r>
              <w:rPr/>
              <w:t xml:space="preserve">Magisterský studijní program v oboru geodézie a kartografie</w:t>
            </w:r>
          </w:p>
        </w:tc>
        <w:tc>
          <w:tcPr>
            <w:tcW w:w="2000" w:type="dxa"/>
          </w:tcPr>
          <w:p>
            <w:pPr>
              <w:jc w:val="center"/>
            </w:pPr>
            <w:r>
              <w:rPr/>
              <w:t xml:space="preserve">3646T</w:t>
            </w:r>
          </w:p>
        </w:tc>
      </w:tr>
      <w:tr>
        <w:trPr/>
        <w:tc>
          <w:tcPr>
            <w:tcW w:w="2000" w:type="dxa"/>
          </w:tcPr>
          <w:p>
            <w:pPr>
              <w:jc w:val="center"/>
            </w:pPr>
            <w:r>
              <w:rPr/>
              <w:t xml:space="preserve">KKOV</w:t>
            </w:r>
          </w:p>
        </w:tc>
        <w:tc>
          <w:tcPr>
            <w:tcW w:w="5000" w:type="dxa"/>
          </w:tcPr>
          <w:p>
            <w:pPr/>
            <w:r>
              <w:rPr/>
              <w:t xml:space="preserve">Magisterský studijní program ve skupině oborů stavebnictví, geodézie a kartografie</w:t>
            </w:r>
          </w:p>
        </w:tc>
        <w:tc>
          <w:tcPr>
            <w:tcW w:w="2000" w:type="dxa"/>
          </w:tcPr>
          <w:p>
            <w:pPr>
              <w:jc w:val="center"/>
            </w:pPr>
            <w:r>
              <w:rPr/>
              <w:t xml:space="preserve">36xxT</w:t>
            </w:r>
          </w:p>
        </w:tc>
      </w:tr>
      <w:tr>
        <w:trPr/>
        <w:tc>
          <w:tcPr>
            <w:tcW w:w="2000" w:type="dxa"/>
          </w:tcPr>
          <w:p>
            <w:pPr>
              <w:jc w:val="center"/>
            </w:pPr>
            <w:r>
              <w:rPr/>
              <w:t xml:space="preserve">KKOV</w:t>
            </w:r>
          </w:p>
        </w:tc>
        <w:tc>
          <w:tcPr>
            <w:tcW w:w="5000" w:type="dxa"/>
          </w:tcPr>
          <w:p>
            <w:pPr/>
            <w:r>
              <w:rPr/>
              <w:t xml:space="preserve">Magisterský studijní program v oboru dopravní a spojová infrastruktura</w:t>
            </w:r>
          </w:p>
        </w:tc>
        <w:tc>
          <w:tcPr>
            <w:tcW w:w="2000" w:type="dxa"/>
          </w:tcPr>
          <w:p>
            <w:pPr>
              <w:jc w:val="center"/>
            </w:pPr>
            <w:r>
              <w:rPr/>
              <w:t xml:space="preserve">3706T</w:t>
            </w:r>
          </w:p>
        </w:tc>
      </w:tr>
      <w:tr>
        <w:trPr/>
        <w:tc>
          <w:tcPr>
            <w:tcW w:w="2000" w:type="dxa"/>
          </w:tcPr>
          <w:p>
            <w:pPr>
              <w:jc w:val="center"/>
            </w:pPr>
            <w:r>
              <w:rPr/>
              <w:t xml:space="preserve">KKOV</w:t>
            </w:r>
          </w:p>
        </w:tc>
        <w:tc>
          <w:tcPr>
            <w:tcW w:w="5000" w:type="dxa"/>
          </w:tcPr>
          <w:p>
            <w:pPr/>
            <w:r>
              <w:rPr/>
              <w:t xml:space="preserve">Bakalářský studijní program ve skupině oborů stavebnictví, geodézie a kartografie</w:t>
            </w:r>
          </w:p>
        </w:tc>
        <w:tc>
          <w:tcPr>
            <w:tcW w:w="2000" w:type="dxa"/>
          </w:tcPr>
          <w:p>
            <w:pPr>
              <w:jc w:val="center"/>
            </w:pPr>
            <w:r>
              <w:rPr/>
              <w:t xml:space="preserve">36xxR</w:t>
            </w:r>
          </w:p>
        </w:tc>
      </w:tr>
      <w:tr>
        <w:trPr/>
        <w:tc>
          <w:tcPr>
            <w:tcW w:w="2000" w:type="dxa"/>
          </w:tcPr>
          <w:p>
            <w:pPr>
              <w:jc w:val="center"/>
            </w:pPr>
            <w:r>
              <w:rPr/>
              <w:t xml:space="preserve">KKOV</w:t>
            </w:r>
          </w:p>
        </w:tc>
        <w:tc>
          <w:tcPr>
            <w:tcW w:w="5000" w:type="dxa"/>
          </w:tcPr>
          <w:p>
            <w:pPr/>
            <w:r>
              <w:rPr/>
              <w:t xml:space="preserve">Magisterský studijní program v oboru zahradní a krajinářská architektura</w:t>
            </w:r>
          </w:p>
        </w:tc>
        <w:tc>
          <w:tcPr>
            <w:tcW w:w="2000" w:type="dxa"/>
          </w:tcPr>
          <w:p>
            <w:pPr>
              <w:jc w:val="center"/>
            </w:pPr>
            <w:r>
              <w:rPr/>
              <w:t xml:space="preserve">4109T</w:t>
            </w:r>
          </w:p>
        </w:tc>
      </w:tr>
      <w:tr>
        <w:trPr/>
        <w:tc>
          <w:tcPr>
            <w:tcW w:w="2000" w:type="dxa"/>
          </w:tcPr>
          <w:p>
            <w:pPr>
              <w:jc w:val="center"/>
            </w:pPr>
            <w:r>
              <w:rPr/>
              <w:t xml:space="preserve">KKOV</w:t>
            </w:r>
          </w:p>
        </w:tc>
        <w:tc>
          <w:tcPr>
            <w:tcW w:w="5000" w:type="dxa"/>
          </w:tcPr>
          <w:p>
            <w:pPr/>
            <w:r>
              <w:rPr/>
              <w:t xml:space="preserve">Bakalářský studijní program ve skupině oborů právo, právní a veřejnosprávní činnost</w:t>
            </w:r>
          </w:p>
        </w:tc>
        <w:tc>
          <w:tcPr>
            <w:tcW w:w="2000" w:type="dxa"/>
          </w:tcPr>
          <w:p>
            <w:pPr>
              <w:jc w:val="center"/>
            </w:pPr>
            <w:r>
              <w:rPr/>
              <w:t xml:space="preserve">68xxR</w:t>
            </w:r>
          </w:p>
        </w:tc>
      </w:tr>
      <w:tr>
        <w:trPr/>
        <w:tc>
          <w:tcPr>
            <w:tcW w:w="2000" w:type="dxa"/>
          </w:tcPr>
          <w:p>
            <w:pPr>
              <w:jc w:val="center"/>
            </w:pPr>
            <w:r>
              <w:rPr/>
              <w:t xml:space="preserve">KKOV</w:t>
            </w:r>
          </w:p>
        </w:tc>
        <w:tc>
          <w:tcPr>
            <w:tcW w:w="5000" w:type="dxa"/>
          </w:tcPr>
          <w:p>
            <w:pPr/>
            <w:r>
              <w:rPr/>
              <w:t xml:space="preserve">Magisterský studijní program v oboru hospodářská politika a správa</w:t>
            </w:r>
          </w:p>
        </w:tc>
        <w:tc>
          <w:tcPr>
            <w:tcW w:w="2000" w:type="dxa"/>
          </w:tcPr>
          <w:p>
            <w:pPr>
              <w:jc w:val="center"/>
            </w:pPr>
            <w:r>
              <w:rPr/>
              <w:t xml:space="preserve">6202T</w:t>
            </w:r>
          </w:p>
        </w:tc>
      </w:tr>
      <w:tr>
        <w:trPr/>
        <w:tc>
          <w:tcPr>
            <w:tcW w:w="2000" w:type="dxa"/>
          </w:tcPr>
          <w:p>
            <w:pPr>
              <w:jc w:val="center"/>
            </w:pPr>
            <w:r>
              <w:rPr/>
              <w:t xml:space="preserve">KKOV</w:t>
            </w:r>
          </w:p>
        </w:tc>
        <w:tc>
          <w:tcPr>
            <w:tcW w:w="5000" w:type="dxa"/>
          </w:tcPr>
          <w:p>
            <w:pPr/>
            <w:r>
              <w:rPr/>
              <w:t xml:space="preserve">Bakalářský studijní program v oboru sociologie</w:t>
            </w:r>
          </w:p>
        </w:tc>
        <w:tc>
          <w:tcPr>
            <w:tcW w:w="2000" w:type="dxa"/>
          </w:tcPr>
          <w:p>
            <w:pPr>
              <w:jc w:val="center"/>
            </w:pPr>
            <w:r>
              <w:rPr/>
              <w:t xml:space="preserve">6703R</w:t>
            </w:r>
          </w:p>
        </w:tc>
      </w:tr>
      <w:tr>
        <w:trPr/>
        <w:tc>
          <w:tcPr>
            <w:tcW w:w="2000" w:type="dxa"/>
          </w:tcPr>
          <w:p>
            <w:pPr>
              <w:jc w:val="center"/>
            </w:pPr>
            <w:r>
              <w:rPr/>
              <w:t xml:space="preserve">KKOV</w:t>
            </w:r>
          </w:p>
        </w:tc>
        <w:tc>
          <w:tcPr>
            <w:tcW w:w="5000" w:type="dxa"/>
          </w:tcPr>
          <w:p>
            <w:pPr/>
            <w:r>
              <w:rPr/>
              <w:t xml:space="preserve">Magisterský studijní program v oboru sociologie</w:t>
            </w:r>
          </w:p>
        </w:tc>
        <w:tc>
          <w:tcPr>
            <w:tcW w:w="2000" w:type="dxa"/>
          </w:tcPr>
          <w:p>
            <w:pPr>
              <w:jc w:val="center"/>
            </w:pPr>
            <w:r>
              <w:rPr/>
              <w:t xml:space="preserve">6703T</w:t>
            </w:r>
          </w:p>
        </w:tc>
      </w:tr>
      <w:tr>
        <w:trPr/>
        <w:tc>
          <w:tcPr>
            <w:tcW w:w="2000" w:type="dxa"/>
          </w:tcPr>
          <w:p>
            <w:pPr>
              <w:jc w:val="center"/>
            </w:pPr>
            <w:r>
              <w:rPr/>
              <w:t xml:space="preserve">KKOV</w:t>
            </w:r>
          </w:p>
        </w:tc>
        <w:tc>
          <w:tcPr>
            <w:tcW w:w="5000" w:type="dxa"/>
          </w:tcPr>
          <w:p>
            <w:pPr/>
            <w:r>
              <w:rPr/>
              <w:t xml:space="preserve">Magisterský studijní program v oboru demografie</w:t>
            </w:r>
          </w:p>
        </w:tc>
        <w:tc>
          <w:tcPr>
            <w:tcW w:w="2000" w:type="dxa"/>
          </w:tcPr>
          <w:p>
            <w:pPr>
              <w:jc w:val="center"/>
            </w:pPr>
            <w:r>
              <w:rPr/>
              <w:t xml:space="preserve">1303T</w:t>
            </w:r>
          </w:p>
        </w:tc>
      </w:tr>
    </w:tbl>
    <w:p>
      <w:pPr>
        <w:pStyle w:val="Heading3"/>
      </w:pPr>
      <w:bookmarkStart w:id="11" w:name="_Toc11"/>
      <w:r>
        <w:t>Legislativní požadavky</w:t>
      </w:r>
      <w:bookmarkEnd w:id="11"/>
    </w:p>
    <w:p>
      <w:pPr>
        <w:numPr>
          <w:ilvl w:val="0"/>
          <w:numId w:val="5"/>
        </w:numPr>
      </w:pPr>
      <w:r>
        <w:rPr/>
        <w:t xml:space="preserve">povinné - Činnosti úředníků samosprávných celků - zvláštní odborná způsobilost a průběžné vzdělávání podle zákona č. 312/2002 Sb., o úřednících uzemních samosprávných celků a o změně některých zákonů a podle vyhlášky č. 512/2002 Sb., o zvláštní odborné způsobilosti úředníků územních samosprávných celků</w:t>
      </w:r>
    </w:p>
    <w:p/>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j33.Z.2112</w:t>
            </w:r>
          </w:p>
        </w:tc>
        <w:tc>
          <w:tcPr>
            <w:tcW w:w="3000" w:type="dxa"/>
          </w:tcPr>
          <w:p>
            <w:pPr/>
            <w:r>
              <w:rPr/>
              <w:t xml:space="preserve">Koordinace spolupráce s ostatními útvary a organizačními složkami státu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i21.Z.2675</w:t>
            </w:r>
          </w:p>
        </w:tc>
        <w:tc>
          <w:tcPr>
            <w:tcW w:w="3000" w:type="dxa"/>
          </w:tcPr>
          <w:p>
            <w:pPr/>
            <w:r>
              <w:rPr/>
              <w:t xml:space="preserve">Koordinování a usměrňování výkonu státní správy na úseku územního plánování, v rámci zajišťování odborných činností na úseku stavebně správním, spadajících do působnosti samosprávního úřadu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i21.C.2000</w:t>
            </w:r>
          </w:p>
        </w:tc>
        <w:tc>
          <w:tcPr>
            <w:tcW w:w="3000" w:type="dxa"/>
          </w:tcPr>
          <w:p>
            <w:pPr/>
            <w:r>
              <w:rPr/>
              <w:t xml:space="preserve">Aplikace problematiky výkonu státní správy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i21.D.2001</w:t>
            </w:r>
          </w:p>
        </w:tc>
        <w:tc>
          <w:tcPr>
            <w:tcW w:w="3000" w:type="dxa"/>
          </w:tcPr>
          <w:p>
            <w:pPr/>
            <w:r>
              <w:rPr/>
              <w:t xml:space="preserve">Tvorba koncepcí a metodik ve svěřené působnosti</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i41._.0015</w:t>
            </w:r>
          </w:p>
        </w:tc>
        <w:tc>
          <w:tcPr>
            <w:tcW w:w="3000" w:type="dxa"/>
          </w:tcPr>
          <w:p>
            <w:pPr/>
            <w:r>
              <w:rPr/>
              <w:t xml:space="preserve">správní právo, správní řád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i21._.0067</w:t>
            </w:r>
          </w:p>
        </w:tc>
        <w:tc>
          <w:tcPr>
            <w:tcW w:w="3000" w:type="dxa"/>
          </w:tcPr>
          <w:p>
            <w:pPr/>
            <w:r>
              <w:rPr/>
              <w:t xml:space="preserve">státní správa v oblasti územního plánování a výstavby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i41._.0061</w:t>
            </w:r>
          </w:p>
        </w:tc>
        <w:tc>
          <w:tcPr>
            <w:tcW w:w="3000" w:type="dxa"/>
          </w:tcPr>
          <w:p>
            <w:pPr/>
            <w:r>
              <w:rPr/>
              <w:t xml:space="preserve">právo Evropské unie</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i21._.0051</w:t>
            </w:r>
          </w:p>
        </w:tc>
        <w:tc>
          <w:tcPr>
            <w:tcW w:w="3000" w:type="dxa"/>
          </w:tcPr>
          <w:p>
            <w:pPr/>
            <w:r>
              <w:rPr/>
              <w:t xml:space="preserve">státní správa a samospráva na centrální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i41._.0023</w:t>
            </w:r>
          </w:p>
        </w:tc>
        <w:tc>
          <w:tcPr>
            <w:tcW w:w="3000" w:type="dxa"/>
          </w:tcPr>
          <w:p>
            <w:pPr/>
            <w:r>
              <w:rPr/>
              <w:t xml:space="preserve">legislativa ve stavebnictví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i21._.0090</w:t>
            </w:r>
          </w:p>
        </w:tc>
        <w:tc>
          <w:tcPr>
            <w:tcW w:w="3000" w:type="dxa"/>
          </w:tcPr>
          <w:p>
            <w:pPr/>
            <w:r>
              <w:rPr/>
              <w:t xml:space="preserve">tvorba koncepčních, normotvorných a metodických materiálů</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Obecné dovednosti</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6" w:name="_Toc16"/>
      <w:r>
        <w:t>Měkké kompetence</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5</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5</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7" w:name="_Toc17"/>
      <w:r>
        <w:t>Zdravotní podmínky</w:t>
      </w:r>
      <w:bookmarkEnd w:id="17"/>
    </w:p>
    <w:p>
      <w:pPr>
        <w:pStyle w:val="Heading3"/>
      </w:pPr>
      <w:bookmarkStart w:id="18" w:name="_Toc18"/>
      <w:r>
        <w:t>Onemocnění omezující výkon povolání / specializace povolání.</w:t>
      </w:r>
      <w:bookmarkEnd w:id="18"/>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BAB7C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Referent specialista ostatního výkonu státní správy územního plánování</dc:title>
  <dc:description>Referent specialista ostatního výkonu státní správy územního plánování vytváří, navrhuje a koordinuje kontrolní systémy a koordinuje a usměrňuje zabezpečování úkolů územního plánování na všech úrovních úřadů. </dc:description>
  <dc:subject/>
  <cp:keywords/>
  <cp:category>Specializace</cp:category>
  <cp:lastModifiedBy/>
  <dcterms:created xsi:type="dcterms:W3CDTF">2017-11-22T09:07:36+01:00</dcterms:created>
  <dcterms:modified xsi:type="dcterms:W3CDTF">2017-11-22T09:42:36+01:00</dcterms:modified>
</cp:coreProperties>
</file>

<file path=docProps/custom.xml><?xml version="1.0" encoding="utf-8"?>
<Properties xmlns="http://schemas.openxmlformats.org/officeDocument/2006/custom-properties" xmlns:vt="http://schemas.openxmlformats.org/officeDocument/2006/docPropsVTypes"/>
</file>