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specialista čištění odpadních vod, Vodárenský specialista technolog pitných a odpadních vod, Vodárenský specialista úpravy vody, Vodárenský specialista vodovodních a kanalizačních sítí, Vodárenský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čistíren a čištěním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Tvorba plánů oprav, údržby a periodických revizí systémů řízení.</w:t>
      </w:r>
    </w:p>
    <w:p>
      <w:pPr>
        <w:numPr>
          <w:ilvl w:val="0"/>
          <w:numId w:val="5"/>
        </w:numPr>
      </w:pPr>
      <w:r>
        <w:rPr/>
        <w:t xml:space="preserve">Kontrola a vyhodnocování hospodaření vodárenského zařízení.</w:t>
      </w:r>
    </w:p>
    <w:p>
      <w:pPr>
        <w:numPr>
          <w:ilvl w:val="0"/>
          <w:numId w:val="5"/>
        </w:numPr>
      </w:pPr>
      <w:r>
        <w:rPr/>
        <w:t xml:space="preserve">Sběr podkladů o systémech vhodných k zavádění ve vodárenství.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 vodárenského zařízení.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příslušné provozní a jiné dokumentace dané právními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a hospodaření s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Úpravnictví a technologie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2805T005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Vodárenský specialista / vodárenská specialistka telemetrie a automatizace (36-179-T)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chemicko-technologických řešeních havarijních situací v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a PO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činností diagnostiky a nastavování procesní instrumentace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9B13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