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Podkovář a paznehtář</w:t>
      </w:r>
      <w:bookmarkEnd w:id="1"/>
    </w:p>
    <w:p>
      <w:pPr/>
      <w:r>
        <w:rPr/>
        <w:t xml:space="preserve">Podkovář a paznehtář upravuje a případně ošetřuje kopyta a paznehty hospodářských zvířat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zdravotního stavu paznehtů hospodářských zvířat nebo kopyt koní a identifikace běžných onemocnění.</w:t>
      </w:r>
    </w:p>
    <w:p>
      <w:pPr>
        <w:numPr>
          <w:ilvl w:val="0"/>
          <w:numId w:val="5"/>
        </w:numPr>
      </w:pPr>
      <w:r>
        <w:rPr/>
        <w:t xml:space="preserve">Zajišťování fixace ošetřovaných zvířat.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a ošetřování paznehtů sudokopytníků.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podkov.</w:t>
      </w:r>
    </w:p>
    <w:p>
      <w:pPr>
        <w:numPr>
          <w:ilvl w:val="0"/>
          <w:numId w:val="5"/>
        </w:numPr>
      </w:pPr>
      <w:r>
        <w:rPr/>
        <w:t xml:space="preserve">Podkovávání pravidelných a nepravidelných kopyt.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Zemědělský kovář / zemědělská kovářka (41-030-H)</w:t>
      </w:r>
    </w:p>
    <w:p>
      <w:pPr>
        <w:numPr>
          <w:ilvl w:val="0"/>
          <w:numId w:val="5"/>
        </w:numPr>
      </w:pPr>
      <w:r>
        <w:rPr/>
        <w:t xml:space="preserve">Paznehtář/paznehtářka (41-049-H)</w:t>
      </w:r>
    </w:p>
    <w:p>
      <w:pPr>
        <w:numPr>
          <w:ilvl w:val="0"/>
          <w:numId w:val="5"/>
        </w:numPr>
      </w:pPr>
      <w:r>
        <w:rPr/>
        <w:t xml:space="preserve">Pomocník/pomocnice podkováře/podkovářky (41-039-E)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ošetřování nemocných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ošetření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 a nepravidelná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podkov a jednoduchých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paznehtářskou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zvířete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zvířete před a po ošetření nebo korektuře kopyt, paznehtů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3BB1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Podkovář a paznehtář</dc:title>
  <dc:description>Podkovář a paznehtář upravuje a případně ošetřuje kopyta a paznehty hospodářských zvířat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2017-11-22T09:40:28+01:00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