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Manikér, pedikér</w:t>
      </w:r>
      <w:bookmarkEnd w:id="1"/>
    </w:p>
    <w:p>
      <w:pPr/>
      <w:r>
        <w:rPr/>
        <w:t xml:space="preserve">Manikér, pedikér provádí aplikaci kosmetických přípravků určených pro péči o ruce a nohy za účelem zlepšení a udržování jejich vzhledu, upravuje a zapilovává délku a tvar nehtů a za pomoci dekorativní kosmetiky provádí jejich modeláž a zdobení.</w:t>
      </w:r>
    </w:p>
    <w:p/>
    <w:tbl>
      <w:tblGrid>
        <w:gridCol w:w="3000" w:type="dxa"/>
        <w:gridCol w:w="6000" w:type="dxa"/>
      </w:tblGrid>
      <w:tblPr>
        <w:jc w:val="start"/>
        <w:tblW w:w="0" w:type="auto"/>
        <w:tblCellSpacing w:w="50" w:type="dxa"/>
        <w:tblLayout w:type="autofit"/>
        <w:bidiVisual w:val="0"/>
        <w:tblCellMar>
          <w:top w:w="80" w:type="dxa"/>
          <w:left w:w="80" w:type="dxa"/>
          <w:right w:w="80" w:type="dxa"/>
          <w:bottom w:w="80" w:type="dxa"/>
        </w:tblCellMar>
      </w:tblPr>
      <w:tr>
        <w:trPr/>
        <w:tc>
          <w:tcPr>
            <w:tcW w:w="3000" w:type="dxa"/>
          </w:tcPr>
          <w:p>
            <w:pPr/>
            <w:r>
              <w:rPr>
                <w:b w:val="1"/>
                <w:bCs w:val="1"/>
              </w:rPr>
              <w:t xml:space="preserve">Odborný směr:</w:t>
            </w:r>
          </w:p>
        </w:tc>
        <w:tc>
          <w:tcPr>
            <w:tcW w:w="6000" w:type="dxa"/>
          </w:tcPr>
          <w:p>
            <w:pPr/>
            <w:r>
              <w:rPr/>
              <w:t xml:space="preserve">Služby provozní a osobní</w:t>
            </w:r>
          </w:p>
        </w:tc>
      </w:tr>
      <w:tr>
        <w:trPr/>
        <w:tc>
          <w:tcPr/>
          <w:p>
            <w:pPr/>
            <w:r>
              <w:rPr>
                <w:b w:val="1"/>
                <w:bCs w:val="1"/>
              </w:rPr>
              <w:t xml:space="preserve">Odborný podsměr:</w:t>
            </w:r>
          </w:p>
        </w:tc>
        <w:tc>
          <w:tcPr/>
          <w:p>
            <w:pPr/>
            <w:r>
              <w:rPr/>
              <w:t xml:space="preserve">péče o tělo</w:t>
            </w:r>
          </w:p>
        </w:tc>
      </w:tr>
      <w:tr>
        <w:trPr/>
        <w:tc>
          <w:tcPr/>
          <w:p>
            <w:pPr/>
            <w:r>
              <w:rPr>
                <w:b w:val="1"/>
                <w:bCs w:val="1"/>
              </w:rPr>
              <w:t xml:space="preserve">Kvalifikační úroveň:</w:t>
            </w:r>
          </w:p>
        </w:tc>
        <w:tc>
          <w:tcPr/>
          <w:p>
            <w:pPr/>
            <w:r>
              <w:rPr/>
              <w:t xml:space="preserve">Střední vzdělání s maturitní zkouškou; Střední vzdělání s výučním listem i maturitní zkouškou</w:t>
            </w:r>
          </w:p>
        </w:tc>
      </w:tr>
      <w:tr>
        <w:trPr/>
        <w:tc>
          <w:tcPr/>
          <w:p>
            <w:pPr/>
            <w:r>
              <w:rPr>
                <w:b w:val="1"/>
                <w:bCs w:val="1"/>
              </w:rPr>
              <w:t xml:space="preserve">Alternativní názvy:</w:t>
            </w:r>
          </w:p>
        </w:tc>
        <w:tc>
          <w:tcPr/>
          <w:p>
            <w:pPr/>
            <w:r>
              <w:rPr/>
              <w:t xml:space="preserve">Manikérka a nehtová designérka, Pedikérka a nehtová designérka, Manicurists, Manicurist, Pedicurist, die Fußpflegerin, der Maniküre, die Handpflegerin</w:t>
            </w:r>
          </w:p>
        </w:tc>
      </w:tr>
      <w:tr>
        <w:trPr/>
        <w:tc>
          <w:tcPr/>
          <w:p>
            <w:pPr/>
            <w:r>
              <w:rPr>
                <w:b w:val="1"/>
                <w:bCs w:val="1"/>
              </w:rPr>
              <w:t xml:space="preserve">Regulovaná jednotka práce:</w:t>
            </w:r>
          </w:p>
        </w:tc>
        <w:tc>
          <w:tcPr/>
          <w:p>
            <w:pPr/>
            <w:r>
              <w:rPr/>
              <w:t xml:space="preserve">ne</w:t>
            </w:r>
          </w:p>
        </w:tc>
      </w:tr>
    </w:tbl>
    <w:p/>
    <w:p>
      <w:pPr>
        <w:pStyle w:val="Heading2"/>
      </w:pPr>
      <w:bookmarkStart w:id="2" w:name="_Toc2"/>
      <w:r>
        <w:t>Pracovní činnosti</w:t>
      </w:r>
      <w:bookmarkEnd w:id="2"/>
    </w:p>
    <w:p>
      <w:pPr>
        <w:numPr>
          <w:ilvl w:val="0"/>
          <w:numId w:val="5"/>
        </w:numPr>
      </w:pPr>
      <w:r>
        <w:rPr/>
        <w:t xml:space="preserve">Diagnostika kůže a určení kosmetického postupu ošetření, popřípadě doporučení návštěvy lékaře.</w:t>
      </w:r>
    </w:p>
    <w:p>
      <w:pPr>
        <w:numPr>
          <w:ilvl w:val="0"/>
          <w:numId w:val="5"/>
        </w:numPr>
      </w:pPr>
      <w:r>
        <w:rPr/>
        <w:t xml:space="preserve">Volba vhodných způsobů kosmetických zásahů a provádění speciálních kosmetických úkonů pomocí přístrojů.</w:t>
      </w:r>
    </w:p>
    <w:p>
      <w:pPr>
        <w:numPr>
          <w:ilvl w:val="0"/>
          <w:numId w:val="5"/>
        </w:numPr>
      </w:pPr>
      <w:r>
        <w:rPr/>
        <w:t xml:space="preserve">Poskytování odborného poradenství v oblasti péče o nohy a ruce.</w:t>
      </w:r>
    </w:p>
    <w:p>
      <w:pPr>
        <w:numPr>
          <w:ilvl w:val="0"/>
          <w:numId w:val="5"/>
        </w:numPr>
      </w:pPr>
      <w:r>
        <w:rPr/>
        <w:t xml:space="preserve">Ošetřování a změkčování rukou a nohou a vhodné použití ošetřujících přípravků podle typu a aktuálního stavu kůže zákazníka.</w:t>
      </w:r>
    </w:p>
    <w:p>
      <w:pPr>
        <w:numPr>
          <w:ilvl w:val="0"/>
          <w:numId w:val="5"/>
        </w:numPr>
      </w:pPr>
      <w:r>
        <w:rPr/>
        <w:t xml:space="preserve">Změkčování a péče o poškozené a ztvrdlé kůže, masírování rukou, nohou.</w:t>
      </w:r>
    </w:p>
    <w:p>
      <w:pPr>
        <w:numPr>
          <w:ilvl w:val="0"/>
          <w:numId w:val="5"/>
        </w:numPr>
      </w:pPr>
      <w:r>
        <w:rPr/>
        <w:t xml:space="preserve">Péče o nehty a pokožku při deformaci zarostlých nehtů a ztvrdlé kůže.</w:t>
      </w:r>
    </w:p>
    <w:p>
      <w:pPr>
        <w:numPr>
          <w:ilvl w:val="0"/>
          <w:numId w:val="5"/>
        </w:numPr>
      </w:pPr>
      <w:r>
        <w:rPr/>
        <w:t xml:space="preserve">Provádění klasických a speciálně manuálních masáží rukou a chodidel.</w:t>
      </w:r>
    </w:p>
    <w:p>
      <w:pPr>
        <w:numPr>
          <w:ilvl w:val="0"/>
          <w:numId w:val="5"/>
        </w:numPr>
      </w:pPr>
      <w:r>
        <w:rPr/>
        <w:t xml:space="preserve">Tvorba návrhové kresby nehtové modeláže.</w:t>
      </w:r>
    </w:p>
    <w:p>
      <w:pPr>
        <w:numPr>
          <w:ilvl w:val="0"/>
          <w:numId w:val="5"/>
        </w:numPr>
      </w:pPr>
      <w:r>
        <w:rPr/>
        <w:t xml:space="preserve">Modelování umělých nehtů pomocí vhodných metod dle typu zákazníka.</w:t>
      </w:r>
    </w:p>
    <w:p>
      <w:pPr>
        <w:numPr>
          <w:ilvl w:val="0"/>
          <w:numId w:val="5"/>
        </w:numPr>
      </w:pPr>
      <w:r>
        <w:rPr/>
        <w:t xml:space="preserve">Upravování nehtů do různých tvarů s odlakováním i lakováním.</w:t>
      </w:r>
    </w:p>
    <w:p>
      <w:pPr>
        <w:numPr>
          <w:ilvl w:val="0"/>
          <w:numId w:val="5"/>
        </w:numPr>
      </w:pPr>
      <w:r>
        <w:rPr/>
        <w:t xml:space="preserve">Umělé zpevňování a prodlužování přírodních nehtů.</w:t>
      </w:r>
    </w:p>
    <w:p>
      <w:pPr>
        <w:numPr>
          <w:ilvl w:val="0"/>
          <w:numId w:val="5"/>
        </w:numPr>
      </w:pPr>
      <w:r>
        <w:rPr/>
        <w:t xml:space="preserve">Provádění péče o přírodní nehty klienta.</w:t>
      </w:r>
    </w:p>
    <w:p>
      <w:pPr>
        <w:numPr>
          <w:ilvl w:val="0"/>
          <w:numId w:val="5"/>
        </w:numPr>
      </w:pPr>
      <w:r>
        <w:rPr/>
        <w:t xml:space="preserve">Prodej pěstících a kosmetických přípravků pro péči o ruce, nehty a nohy.</w:t>
      </w:r>
    </w:p>
    <w:p>
      <w:pPr>
        <w:numPr>
          <w:ilvl w:val="0"/>
          <w:numId w:val="5"/>
        </w:numPr>
      </w:pPr>
      <w:r>
        <w:rPr/>
        <w:t xml:space="preserve">Hygienicko-sanitární činnosti dle provozního řádu.</w:t>
      </w:r>
    </w:p>
    <w:p/>
    <w:p>
      <w:pPr>
        <w:pStyle w:val="Heading2"/>
      </w:pPr>
      <w:bookmarkStart w:id="3" w:name="_Toc3"/>
      <w:r>
        <w:t>CZ-ISCO</w:t>
      </w:r>
      <w:bookmarkEnd w:id="3"/>
    </w:p>
    <w:p>
      <w:pPr>
        <w:numPr>
          <w:ilvl w:val="0"/>
          <w:numId w:val="5"/>
        </w:numPr>
      </w:pPr>
      <w:r>
        <w:rPr/>
        <w:t xml:space="preserve">Manikéři a pedikéři</w:t>
      </w:r>
    </w:p>
    <w:p>
      <w:pPr>
        <w:numPr>
          <w:ilvl w:val="0"/>
          <w:numId w:val="5"/>
        </w:numPr>
      </w:pPr>
      <w:r>
        <w:rPr/>
        <w:t xml:space="preserve">Kosmetici a pracovníci v příbuzných oborech</w:t>
      </w:r>
    </w:p>
    <w:p/>
    <w:p>
      <w:pPr>
        <w:pStyle w:val="Heading3"/>
      </w:pPr>
      <w:bookmarkStart w:id="4" w:name="_Toc4"/>
      <w:r>
        <w:t>Hrubé měsíční mzdy v roce 2025 celkem</w:t>
      </w:r>
      <w:bookmarkEnd w:id="4"/>
    </w:p>
    <w:tbl>
      <w:tblGrid>
        <w:gridCol w:w="1000" w:type="dxa"/>
        <w:gridCol w:w="2000" w:type="dxa"/>
        <w:gridCol w:w="3000" w:type="dxa"/>
        <w:gridCol w:w="3000" w:type="dxa"/>
      </w:tblGrid>
      <w:tblPr>
        <w:jc w:val="start"/>
        <w:tblW w:w="0" w:type="auto"/>
        <w:tblCellSpacing w:w="50" w:type="dxa"/>
        <w:tblLayout w:type="autofit"/>
        <w:bidiVisual w:val="0"/>
        <w:tblCellMar>
          <w:top w:w="80" w:type="dxa"/>
          <w:left w:w="80" w:type="dxa"/>
          <w:right w:w="80" w:type="dxa"/>
          <w:bottom w:w="80" w:type="dxa"/>
        </w:tblCellMar>
      </w:tblPr>
      <w:tr>
        <w:trPr/>
        <w:tc>
          <w:tcPr>
            <w:tcW w:w="3000" w:type="dxa"/>
            <w:gridSpan w:val="2"/>
          </w:tcPr>
          <w:p/>
        </w:tc>
        <w:tc>
          <w:tcPr>
            <w:tcW w:w="6000" w:type="dxa"/>
            <w:gridSpan w:val="2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Medián za ČR celkem</w:t>
            </w:r>
          </w:p>
        </w:tc>
      </w:tr>
      <w:tr>
        <w:trPr/>
        <w:tc>
          <w:tcPr>
            <w:tcW w:w="1000" w:type="dxa"/>
          </w:tcPr>
          <w:p>
            <w:pPr/>
            <w:r>
              <w:rPr>
                <w:b w:val="1"/>
                <w:bCs w:val="1"/>
              </w:rPr>
              <w:t xml:space="preserve">CZ-ISCO</w:t>
            </w:r>
          </w:p>
        </w:tc>
        <w:tc>
          <w:tcPr>
            <w:tcW w:w="2000" w:type="dxa"/>
          </w:tcPr>
          <w:p/>
        </w:tc>
        <w:tc>
          <w:tcPr>
            <w:tcW w:w="3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Mzdová sféra</w:t>
            </w:r>
          </w:p>
        </w:tc>
        <w:tc>
          <w:tcPr>
            <w:tcW w:w="3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Platová sféra</w:t>
            </w:r>
          </w:p>
        </w:tc>
      </w:tr>
      <w:tr>
        <w:trPr/>
        <w:tc>
          <w:tcPr>
            <w:tcW w:w="1000" w:type="dxa"/>
          </w:tcPr>
          <w:p>
            <w:pPr>
              <w:jc w:val="center"/>
            </w:pPr>
            <w:r>
              <w:rPr/>
              <w:t xml:space="preserve">5142</w:t>
            </w:r>
          </w:p>
        </w:tc>
        <w:tc>
          <w:tcPr>
            <w:tcW w:w="2000" w:type="dxa"/>
          </w:tcPr>
          <w:p>
            <w:pPr/>
            <w:r>
              <w:rPr/>
              <w:t xml:space="preserve">Kosmetici a pracovníci v příbuzných oborech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34 515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25 450 Kč</w:t>
            </w:r>
          </w:p>
        </w:tc>
      </w:tr>
    </w:tbl>
    <w:p/>
    <w:p>
      <w:pPr>
        <w:pStyle w:val="Heading2"/>
      </w:pPr>
      <w:bookmarkStart w:id="5" w:name="_Toc5"/>
      <w:r>
        <w:t>Pracovní podmínky</w:t>
      </w:r>
      <w:bookmarkEnd w:id="5"/>
    </w:p>
    <w:p>
      <w:pPr/>
      <w:r>
        <w:rPr/>
        <w:t xml:space="preserve">Rizikové faktory pracovních podmínek a vyskytující se druhy zátěže upravuje nařízení vlády č. 361/2007 Sb., kterým se stanoví podmínky ochrany zdraví při práci, zákon č. 258/2000 Sb., o ochraně veřejného zdraví a zákon č. 262/2006 Sb., zákoník práce. Vždy vyplývají z pracovních podmínek, které se vztahují ke konkrétnímu zaměstnavateli, tudíž se mohou u různých zaměstnavatelů lišit.</w:t>
      </w:r>
    </w:p>
    <w:p/>
    <w:p>
      <w:pPr/>
      <w:r>
        <w:rPr/>
        <w:t xml:space="preserve">Určení míry výskytu faktorů, které mohou ovlivnit zdraví při práci vychází z druhu práce vykonávané na pracovišti. Faktory se zařazují do čtyř kategorií dle míry zdravotního rizika a jeho vlivu na zdraví. O zařazení prací do třetí nebo čtvrté kategorie rozhoduje příslušný orgán ochrany veřejného zdraví.</w:t>
      </w:r>
    </w:p>
    <w:p/>
    <w:p>
      <w:pPr>
        <w:numPr>
          <w:ilvl w:val="0"/>
          <w:numId w:val="5"/>
        </w:numPr>
      </w:pPr>
      <w:r>
        <w:rPr>
          <w:sz w:val="16"/>
          <w:szCs w:val="16"/>
          <w:i w:val="1"/>
          <w:iCs w:val="1"/>
        </w:rPr>
        <w:t xml:space="preserve">1. Stupeň zátěže (minimální zdravotní riziko) - Faktor se při výkonu práce nevyskytuje nebo je zátěž faktorem minimální, vliv faktoru je ze zdravotního hlediska nevýznamný.</w:t>
      </w:r>
    </w:p>
    <w:p>
      <w:pPr>
        <w:numPr>
          <w:ilvl w:val="0"/>
          <w:numId w:val="5"/>
        </w:numPr>
      </w:pPr>
      <w:r>
        <w:rPr>
          <w:sz w:val="16"/>
          <w:szCs w:val="16"/>
          <w:i w:val="1"/>
          <w:iCs w:val="1"/>
        </w:rPr>
        <w:t xml:space="preserve">2. Stupeň zátěže (únosná míra zdravotního rizika) - Ze zdravotního hlediska je míra zátěže faktorem únosná, nepřekračuje limity stanovené předpisy, vliv faktoru je akceptovatelný pro zdravého člověka.</w:t>
      </w:r>
    </w:p>
    <w:p>
      <w:pPr>
        <w:numPr>
          <w:ilvl w:val="0"/>
          <w:numId w:val="5"/>
        </w:numPr>
      </w:pPr>
      <w:r>
        <w:rPr>
          <w:sz w:val="16"/>
          <w:szCs w:val="16"/>
          <w:i w:val="1"/>
          <w:iCs w:val="1"/>
        </w:rPr>
        <w:t xml:space="preserve">3. Stupeň zátěže (významná míra zdravotního rizika) - Úroveň zátěže překračuje stanovené limitní hodnoty expozice (zátěže), na pracovištích je nutná realizace náhradních technických a organizačních opatření, nelze vyloučit negativní vliv na zdraví pracovníků.</w:t>
      </w:r>
    </w:p>
    <w:p>
      <w:pPr>
        <w:numPr>
          <w:ilvl w:val="0"/>
          <w:numId w:val="5"/>
        </w:numPr>
      </w:pPr>
      <w:r>
        <w:rPr>
          <w:sz w:val="16"/>
          <w:szCs w:val="16"/>
          <w:i w:val="1"/>
          <w:iCs w:val="1"/>
        </w:rPr>
        <w:t xml:space="preserve">4. Stupeň zátěže (vysoká míra zdravotního rizika) - Úroveň zátěže vysoce překračuje stanovené limitní hodnoty expozice, na pracovištích musí být dodržován soubor preventivních opatření, častěji dochází k poškození zdraví.</w:t>
      </w:r>
    </w:p>
    <w:p/>
    <w:p/>
    <w:p>
      <w:pPr>
        <w:pStyle w:val="Heading2"/>
      </w:pPr>
      <w:bookmarkStart w:id="6" w:name="_Toc6"/>
      <w:r>
        <w:t>Kvalifikace k výkonu povolání</w:t>
      </w:r>
      <w:bookmarkEnd w:id="6"/>
    </w:p>
    <w:p>
      <w:pPr>
        <w:pStyle w:val="Heading3"/>
      </w:pPr>
      <w:bookmarkStart w:id="7" w:name="_Toc7"/>
      <w:r>
        <w:t>Školní vzdělání</w:t>
      </w:r>
      <w:bookmarkEnd w:id="7"/>
    </w:p>
    <w:p/>
    <w:p>
      <w:pPr>
        <w:pStyle w:val="Heading4"/>
      </w:pPr>
      <w:bookmarkStart w:id="8" w:name="_Toc8"/>
      <w:r>
        <w:t>Nejvhodnější školní přípravu poskytují obory:</w:t>
      </w:r>
      <w:bookmarkEnd w:id="8"/>
    </w:p>
    <w:tbl>
      <w:tblGrid>
        <w:gridCol w:w="2000" w:type="dxa"/>
        <w:gridCol w:w="5000" w:type="dxa"/>
        <w:gridCol w:w="2000" w:type="dxa"/>
      </w:tblGrid>
      <w:tblPr>
        <w:jc w:val="start"/>
        <w:tblW w:w="0" w:type="auto"/>
        <w:tblCellSpacing w:w="50" w:type="dxa"/>
        <w:tblLayout w:type="autofit"/>
        <w:bidiVisual w:val="0"/>
        <w:tblCellMar>
          <w:top w:w="80" w:type="dxa"/>
          <w:left w:w="80" w:type="dxa"/>
          <w:right w:w="80" w:type="dxa"/>
          <w:bottom w:w="80" w:type="dxa"/>
        </w:tblCellMar>
      </w:tblPr>
      <w:tr>
        <w:trPr/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Typ</w:t>
            </w:r>
          </w:p>
        </w:tc>
        <w:tc>
          <w:tcPr>
            <w:tcW w:w="5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Název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Kód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KKOV</w:t>
            </w:r>
          </w:p>
        </w:tc>
        <w:tc>
          <w:tcPr>
            <w:tcW w:w="5000" w:type="dxa"/>
          </w:tcPr>
          <w:p>
            <w:pPr/>
            <w:r>
              <w:rPr/>
              <w:t xml:space="preserve">Střední vzdělání s maturitní zkouškou (bez vyučení) v oboru osobní služby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6941M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AKSO</w:t>
            </w:r>
          </w:p>
        </w:tc>
        <w:tc>
          <w:tcPr>
            <w:tcW w:w="5000" w:type="dxa"/>
          </w:tcPr>
          <w:p>
            <w:pPr/>
            <w:r>
              <w:rPr/>
              <w:t xml:space="preserve">Kosmetička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6941L004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KKOV</w:t>
            </w:r>
          </w:p>
        </w:tc>
        <w:tc>
          <w:tcPr>
            <w:tcW w:w="5000" w:type="dxa"/>
          </w:tcPr>
          <w:p>
            <w:pPr/>
            <w:r>
              <w:rPr/>
              <w:t xml:space="preserve">Střední vzdělání s maturitní zkouškou v oboru osobní služby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6941L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RVP</w:t>
            </w:r>
          </w:p>
        </w:tc>
        <w:tc>
          <w:tcPr>
            <w:tcW w:w="5000" w:type="dxa"/>
          </w:tcPr>
          <w:p>
            <w:pPr/>
            <w:r>
              <w:rPr/>
              <w:t xml:space="preserve">Kosmetické služby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69-41-L/01</w:t>
            </w:r>
          </w:p>
        </w:tc>
      </w:tr>
    </w:tbl>
    <w:p/>
    <w:p>
      <w:pPr>
        <w:pStyle w:val="Heading4"/>
      </w:pPr>
      <w:bookmarkStart w:id="9" w:name="_Toc9"/>
      <w:r>
        <w:t>Vhodnou školní přípravu poskytují také obory:</w:t>
      </w:r>
      <w:bookmarkEnd w:id="9"/>
    </w:p>
    <w:tbl>
      <w:tblGrid>
        <w:gridCol w:w="2000" w:type="dxa"/>
        <w:gridCol w:w="5000" w:type="dxa"/>
        <w:gridCol w:w="2000" w:type="dxa"/>
      </w:tblGrid>
      <w:tblPr>
        <w:jc w:val="start"/>
        <w:tblW w:w="0" w:type="auto"/>
        <w:tblCellSpacing w:w="50" w:type="dxa"/>
        <w:tblLayout w:type="autofit"/>
        <w:bidiVisual w:val="0"/>
        <w:tblCellMar>
          <w:top w:w="80" w:type="dxa"/>
          <w:left w:w="80" w:type="dxa"/>
          <w:right w:w="80" w:type="dxa"/>
          <w:bottom w:w="80" w:type="dxa"/>
        </w:tblCellMar>
      </w:tblPr>
      <w:tr>
        <w:trPr/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Typ</w:t>
            </w:r>
          </w:p>
        </w:tc>
        <w:tc>
          <w:tcPr>
            <w:tcW w:w="5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Název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Kód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KKOV</w:t>
            </w:r>
          </w:p>
        </w:tc>
        <w:tc>
          <w:tcPr>
            <w:tcW w:w="5000" w:type="dxa"/>
          </w:tcPr>
          <w:p>
            <w:pPr/>
            <w:r>
              <w:rPr/>
              <w:t xml:space="preserve">Střední vzdělání s výučním listem v oboru kosmetička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6952H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KKOV</w:t>
            </w:r>
          </w:p>
        </w:tc>
        <w:tc>
          <w:tcPr>
            <w:tcW w:w="5000" w:type="dxa"/>
          </w:tcPr>
          <w:p>
            <w:pPr/>
            <w:r>
              <w:rPr/>
              <w:t xml:space="preserve">Pleťová kosmetika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6941L503</w:t>
            </w:r>
          </w:p>
        </w:tc>
      </w:tr>
    </w:tbl>
    <w:p/>
    <w:p>
      <w:pPr>
        <w:pStyle w:val="Heading3"/>
      </w:pPr>
      <w:bookmarkStart w:id="10" w:name="_Toc10"/>
      <w:r>
        <w:t>Další vzdělání</w:t>
      </w:r>
      <w:bookmarkEnd w:id="10"/>
    </w:p>
    <w:p>
      <w:pPr>
        <w:pStyle w:val="Heading4"/>
      </w:pPr>
      <w:bookmarkStart w:id="11" w:name="_Toc11"/>
      <w:r>
        <w:t>Profesní kvalifikace</w:t>
      </w:r>
      <w:bookmarkEnd w:id="11"/>
    </w:p>
    <w:p>
      <w:pPr>
        <w:numPr>
          <w:ilvl w:val="0"/>
          <w:numId w:val="5"/>
        </w:numPr>
      </w:pPr>
      <w:r>
        <w:rPr/>
        <w:t xml:space="preserve">Manikér a nehtový designér / manikérka a nehtová designérka (69-024-H)</w:t>
      </w:r>
    </w:p>
    <w:p>
      <w:pPr>
        <w:numPr>
          <w:ilvl w:val="0"/>
          <w:numId w:val="5"/>
        </w:numPr>
      </w:pPr>
      <w:r>
        <w:rPr/>
        <w:t xml:space="preserve">Pedikér a nehtový designér / pedikérka a nehtová designérka (69-025-H)</w:t>
      </w:r>
    </w:p>
    <w:p/>
    <w:p/>
    <w:p>
      <w:pPr>
        <w:pStyle w:val="Heading2"/>
      </w:pPr>
      <w:bookmarkStart w:id="12" w:name="_Toc12"/>
      <w:r>
        <w:t>Kompetenční požadavky</w:t>
      </w:r>
      <w:bookmarkEnd w:id="12"/>
    </w:p>
    <w:p>
      <w:pPr>
        <w:pStyle w:val="Heading3"/>
      </w:pPr>
      <w:bookmarkStart w:id="13" w:name="_Toc13"/>
      <w:r>
        <w:t>Odborné dovednosti</w:t>
      </w:r>
      <w:bookmarkEnd w:id="13"/>
    </w:p>
    <w:tbl>
      <w:tblGrid>
        <w:gridCol w:w="2000" w:type="dxa"/>
        <w:gridCol w:w="3000" w:type="dxa"/>
        <w:gridCol w:w="2000" w:type="dxa"/>
        <w:gridCol w:w="2000" w:type="dxa"/>
      </w:tblGrid>
      <w:tblPr>
        <w:jc w:val="start"/>
        <w:tblW w:w="0" w:type="auto"/>
        <w:tblCellSpacing w:w="50" w:type="dxa"/>
        <w:tblLayout w:type="autofit"/>
        <w:bidiVisual w:val="0"/>
        <w:tblCellMar>
          <w:top w:w="80" w:type="dxa"/>
          <w:left w:w="80" w:type="dxa"/>
          <w:right w:w="80" w:type="dxa"/>
          <w:bottom w:w="80" w:type="dxa"/>
        </w:tblCellMar>
      </w:tblPr>
      <w:tr>
        <w:trPr/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Kód</w:t>
            </w:r>
          </w:p>
        </w:tc>
        <w:tc>
          <w:tcPr>
            <w:tcW w:w="3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Název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Úroveň 1-8</w:t>
            </w:r>
          </w:p>
        </w:tc>
        <w:tc>
          <w:tcPr>
            <w:tcW w:w="2000" w:type="dxa"/>
          </w:tcPr>
          <w:p>
            <w:pPr/>
            <w:r>
              <w:rPr>
                <w:b w:val="1"/>
                <w:bCs w:val="1"/>
              </w:rPr>
              <w:t xml:space="preserve">Vhodnost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h42.A.6011</w:t>
            </w:r>
          </w:p>
        </w:tc>
        <w:tc>
          <w:tcPr>
            <w:tcW w:w="3000" w:type="dxa"/>
          </w:tcPr>
          <w:p>
            <w:pPr/>
            <w:r>
              <w:rPr/>
              <w:t xml:space="preserve">Zdobení a lakování nehtů (make-up)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h42.A.7011</w:t>
            </w:r>
          </w:p>
        </w:tc>
        <w:tc>
          <w:tcPr>
            <w:tcW w:w="3000" w:type="dxa"/>
          </w:tcPr>
          <w:p>
            <w:pPr/>
            <w:r>
              <w:rPr/>
              <w:t xml:space="preserve">Ošetřování a péče o ruce a nehty (koupele, peeling, změkčování kůže, masáže)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h42.A.1011</w:t>
            </w:r>
          </w:p>
        </w:tc>
        <w:tc>
          <w:tcPr>
            <w:tcW w:w="3000" w:type="dxa"/>
          </w:tcPr>
          <w:p>
            <w:pPr/>
            <w:r>
              <w:rPr/>
              <w:t xml:space="preserve">Tvarování (stříhání, broušení, úprava) nehtů pomocí ručních nástrojů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h42.A.6012</w:t>
            </w:r>
          </w:p>
        </w:tc>
        <w:tc>
          <w:tcPr>
            <w:tcW w:w="3000" w:type="dxa"/>
          </w:tcPr>
          <w:p>
            <w:pPr/>
            <w:r>
              <w:rPr/>
              <w:t xml:space="preserve">Nehtová modeláž (umělé zpevňování a prodlužování nehtů) různými technikami (např. gel, akryl, hedvábí atd.)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h41.D.3311</w:t>
            </w:r>
          </w:p>
        </w:tc>
        <w:tc>
          <w:tcPr>
            <w:tcW w:w="3000" w:type="dxa"/>
          </w:tcPr>
          <w:p>
            <w:pPr/>
            <w:r>
              <w:rPr/>
              <w:t xml:space="preserve">Zhodnocování celkového stavu nohou a navrhování postupu jejich ošetření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h41.D.3310</w:t>
            </w:r>
          </w:p>
        </w:tc>
        <w:tc>
          <w:tcPr>
            <w:tcW w:w="3000" w:type="dxa"/>
          </w:tcPr>
          <w:p>
            <w:pPr/>
            <w:r>
              <w:rPr/>
              <w:t xml:space="preserve">Zhodnocení celkového stavu rukou a nehtů a navrhování postupu ošetření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h42.A.7010</w:t>
            </w:r>
          </w:p>
        </w:tc>
        <w:tc>
          <w:tcPr>
            <w:tcW w:w="3000" w:type="dxa"/>
          </w:tcPr>
          <w:p>
            <w:pPr/>
            <w:r>
              <w:rPr/>
              <w:t xml:space="preserve">Ošetřování a péče o nohy a nehty (koupele, peeling, změkčování kůže, masáže)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h41.A.1021</w:t>
            </w:r>
          </w:p>
        </w:tc>
        <w:tc>
          <w:tcPr>
            <w:tcW w:w="3000" w:type="dxa"/>
          </w:tcPr>
          <w:p>
            <w:pPr/>
            <w:r>
              <w:rPr/>
              <w:t xml:space="preserve">Modelování resp. oprava poškozených nehtů nohou některou z dostupných metod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h41.C.1017</w:t>
            </w:r>
          </w:p>
        </w:tc>
        <w:tc>
          <w:tcPr>
            <w:tcW w:w="3000" w:type="dxa"/>
          </w:tcPr>
          <w:p>
            <w:pPr/>
            <w:r>
              <w:rPr/>
              <w:t xml:space="preserve">Poskytování odborné poradenské činnosti klientům v oblasti péče o nohy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h41.C.1016</w:t>
            </w:r>
          </w:p>
        </w:tc>
        <w:tc>
          <w:tcPr>
            <w:tcW w:w="3000" w:type="dxa"/>
          </w:tcPr>
          <w:p>
            <w:pPr/>
            <w:r>
              <w:rPr/>
              <w:t xml:space="preserve">Poskytování odborné poradenské činnosti klientům v oblasti péče o ruce a nehty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l24.D.0018</w:t>
            </w:r>
          </w:p>
        </w:tc>
        <w:tc>
          <w:tcPr>
            <w:tcW w:w="3000" w:type="dxa"/>
          </w:tcPr>
          <w:p>
            <w:pPr/>
            <w:r>
              <w:rPr/>
              <w:t xml:space="preserve">Dodržování zdravotních a hygienických předpisů, BOZP a PO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h44.A.5022</w:t>
            </w:r>
          </w:p>
        </w:tc>
        <w:tc>
          <w:tcPr>
            <w:tcW w:w="3000" w:type="dxa"/>
          </w:tcPr>
          <w:p>
            <w:pPr/>
            <w:r>
              <w:rPr/>
              <w:t xml:space="preserve">Provádění úklidu provozu podle dezinfekčního řádu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Výhodné</w:t>
            </w:r>
          </w:p>
        </w:tc>
      </w:tr>
    </w:tbl>
    <w:p>
      <w:pPr/>
      <w:r>
        <w:rPr>
          <w:sz w:val="16"/>
          <w:szCs w:val="16"/>
          <w:i w:val="1"/>
          <w:iCs w:val="1"/>
        </w:rPr>
        <w:t xml:space="preserve">Popisy úrovní naleznete zde: https://nsp.cz/downloads/Priloha_c2_manualu.pdf</w:t>
      </w:r>
    </w:p>
    <w:p/>
    <w:p>
      <w:pPr>
        <w:pStyle w:val="Heading3"/>
      </w:pPr>
      <w:bookmarkStart w:id="14" w:name="_Toc14"/>
      <w:r>
        <w:t>Odborné znalosti</w:t>
      </w:r>
      <w:bookmarkEnd w:id="14"/>
    </w:p>
    <w:tbl>
      <w:tblGrid>
        <w:gridCol w:w="2000" w:type="dxa"/>
        <w:gridCol w:w="3000" w:type="dxa"/>
        <w:gridCol w:w="2000" w:type="dxa"/>
        <w:gridCol w:w="2000" w:type="dxa"/>
      </w:tblGrid>
      <w:tblPr>
        <w:jc w:val="start"/>
        <w:tblW w:w="0" w:type="auto"/>
        <w:tblCellSpacing w:w="50" w:type="dxa"/>
        <w:tblLayout w:type="autofit"/>
        <w:bidiVisual w:val="0"/>
        <w:tblCellMar>
          <w:top w:w="80" w:type="dxa"/>
          <w:left w:w="80" w:type="dxa"/>
          <w:right w:w="80" w:type="dxa"/>
          <w:bottom w:w="80" w:type="dxa"/>
        </w:tblCellMar>
      </w:tblPr>
      <w:tr>
        <w:trPr/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Kód</w:t>
            </w:r>
          </w:p>
        </w:tc>
        <w:tc>
          <w:tcPr>
            <w:tcW w:w="3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Název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Úroveň 1-8</w:t>
            </w:r>
          </w:p>
        </w:tc>
        <w:tc>
          <w:tcPr>
            <w:tcW w:w="2000" w:type="dxa"/>
          </w:tcPr>
          <w:p>
            <w:pPr/>
            <w:r>
              <w:rPr>
                <w:b w:val="1"/>
                <w:bCs w:val="1"/>
              </w:rPr>
              <w:t xml:space="preserve">Vhodnost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h41._.0031</w:t>
            </w:r>
          </w:p>
        </w:tc>
        <w:tc>
          <w:tcPr>
            <w:tcW w:w="3000" w:type="dxa"/>
          </w:tcPr>
          <w:p>
            <w:pPr/>
            <w:r>
              <w:rPr/>
              <w:t xml:space="preserve">pedikúra, manikúra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k12._.0099</w:t>
            </w:r>
          </w:p>
        </w:tc>
        <w:tc>
          <w:tcPr>
            <w:tcW w:w="3000" w:type="dxa"/>
          </w:tcPr>
          <w:p>
            <w:pPr/>
            <w:r>
              <w:rPr/>
              <w:t xml:space="preserve">hygienické předpisy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h42._.0004</w:t>
            </w:r>
          </w:p>
        </w:tc>
        <w:tc>
          <w:tcPr>
            <w:tcW w:w="3000" w:type="dxa"/>
          </w:tcPr>
          <w:p>
            <w:pPr/>
            <w:r>
              <w:rPr/>
              <w:t xml:space="preserve">provozní řád a bezpečnostní předpisy provozního zařízení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h11._.0023</w:t>
            </w:r>
          </w:p>
        </w:tc>
        <w:tc>
          <w:tcPr>
            <w:tcW w:w="3000" w:type="dxa"/>
          </w:tcPr>
          <w:p>
            <w:pPr/>
            <w:r>
              <w:rPr/>
              <w:t xml:space="preserve">klientela a potenciální klientela, péče o ni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Výhodné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h42._.0003</w:t>
            </w:r>
          </w:p>
        </w:tc>
        <w:tc>
          <w:tcPr>
            <w:tcW w:w="3000" w:type="dxa"/>
          </w:tcPr>
          <w:p>
            <w:pPr/>
            <w:r>
              <w:rPr/>
              <w:t xml:space="preserve">masáže (nezdravotnické)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Výhodné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m12._.0009</w:t>
            </w:r>
          </w:p>
        </w:tc>
        <w:tc>
          <w:tcPr>
            <w:tcW w:w="3000" w:type="dxa"/>
          </w:tcPr>
          <w:p>
            <w:pPr/>
            <w:r>
              <w:rPr/>
              <w:t xml:space="preserve">nehtový design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</w:tbl>
    <w:p>
      <w:pPr/>
      <w:r>
        <w:rPr>
          <w:sz w:val="16"/>
          <w:szCs w:val="16"/>
          <w:i w:val="1"/>
          <w:iCs w:val="1"/>
        </w:rPr>
        <w:t xml:space="preserve">Popisy úrovní naleznete zde: https://nsp.cz/downloads/Priloha_c2_manualu.pdf</w:t>
      </w:r>
    </w:p>
    <w:p/>
    <w:p>
      <w:pPr>
        <w:pStyle w:val="Heading3"/>
      </w:pPr>
      <w:bookmarkStart w:id="15" w:name="_Toc15"/>
      <w:r>
        <w:t>Digitální kompetence</w:t>
      </w:r>
      <w:bookmarkEnd w:id="15"/>
    </w:p>
    <w:tbl>
      <w:tblGrid>
        <w:gridCol w:w="2000" w:type="dxa"/>
        <w:gridCol w:w="5000" w:type="dxa"/>
        <w:gridCol w:w="2000" w:type="dxa"/>
      </w:tblGrid>
      <w:tblPr>
        <w:jc w:val="start"/>
        <w:tblW w:w="0" w:type="auto"/>
        <w:tblCellSpacing w:w="50" w:type="dxa"/>
        <w:tblLayout w:type="autofit"/>
        <w:bidiVisual w:val="0"/>
        <w:tblCellMar>
          <w:top w:w="80" w:type="dxa"/>
          <w:left w:w="80" w:type="dxa"/>
          <w:right w:w="80" w:type="dxa"/>
          <w:bottom w:w="80" w:type="dxa"/>
        </w:tblCellMar>
      </w:tblPr>
      <w:tr>
        <w:trPr/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Kód</w:t>
            </w:r>
          </w:p>
        </w:tc>
        <w:tc>
          <w:tcPr>
            <w:tcW w:w="5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Název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Úroveň 1-4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1.1</w:t>
            </w:r>
          </w:p>
        </w:tc>
        <w:tc>
          <w:tcPr>
            <w:tcW w:w="5000" w:type="dxa"/>
          </w:tcPr>
          <w:p>
            <w:pPr/>
            <w:r>
              <w:rPr/>
              <w:t xml:space="preserve">Prohlížení, vyhledávání a filtrování dat, informací a digitálního obsahu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1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5.3</w:t>
            </w:r>
          </w:p>
        </w:tc>
        <w:tc>
          <w:tcPr>
            <w:tcW w:w="5000" w:type="dxa"/>
          </w:tcPr>
          <w:p>
            <w:pPr/>
            <w:r>
              <w:rPr/>
              <w:t xml:space="preserve">Kreativní využívání digitálních technologií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1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5.2</w:t>
            </w:r>
          </w:p>
        </w:tc>
        <w:tc>
          <w:tcPr>
            <w:tcW w:w="5000" w:type="dxa"/>
          </w:tcPr>
          <w:p>
            <w:pPr/>
            <w:r>
              <w:rPr/>
              <w:t xml:space="preserve">Identifikace potřeb a výběr vhodných technologií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1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5.1</w:t>
            </w:r>
          </w:p>
        </w:tc>
        <w:tc>
          <w:tcPr>
            <w:tcW w:w="5000" w:type="dxa"/>
          </w:tcPr>
          <w:p>
            <w:pPr/>
            <w:r>
              <w:rPr/>
              <w:t xml:space="preserve">Řešení technických problémů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1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4.4</w:t>
            </w:r>
          </w:p>
        </w:tc>
        <w:tc>
          <w:tcPr>
            <w:tcW w:w="5000" w:type="dxa"/>
          </w:tcPr>
          <w:p>
            <w:pPr/>
            <w:r>
              <w:rPr/>
              <w:t xml:space="preserve">Ochrana životního prostředí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1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4.3</w:t>
            </w:r>
          </w:p>
        </w:tc>
        <w:tc>
          <w:tcPr>
            <w:tcW w:w="5000" w:type="dxa"/>
          </w:tcPr>
          <w:p>
            <w:pPr/>
            <w:r>
              <w:rPr/>
              <w:t xml:space="preserve">Ochrana zdraví a duševní pohody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4.2</w:t>
            </w:r>
          </w:p>
        </w:tc>
        <w:tc>
          <w:tcPr>
            <w:tcW w:w="5000" w:type="dxa"/>
          </w:tcPr>
          <w:p>
            <w:pPr/>
            <w:r>
              <w:rPr/>
              <w:t xml:space="preserve">Ochrana osobních dat a soukromí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4.1</w:t>
            </w:r>
          </w:p>
        </w:tc>
        <w:tc>
          <w:tcPr>
            <w:tcW w:w="5000" w:type="dxa"/>
          </w:tcPr>
          <w:p>
            <w:pPr/>
            <w:r>
              <w:rPr/>
              <w:t xml:space="preserve">Ochrana zařízení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1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3.3</w:t>
            </w:r>
          </w:p>
        </w:tc>
        <w:tc>
          <w:tcPr>
            <w:tcW w:w="5000" w:type="dxa"/>
          </w:tcPr>
          <w:p>
            <w:pPr/>
            <w:r>
              <w:rPr/>
              <w:t xml:space="preserve">Autorská práva a licence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1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3.2</w:t>
            </w:r>
          </w:p>
        </w:tc>
        <w:tc>
          <w:tcPr>
            <w:tcW w:w="5000" w:type="dxa"/>
          </w:tcPr>
          <w:p>
            <w:pPr/>
            <w:r>
              <w:rPr/>
              <w:t xml:space="preserve">Integrace a přepracování digitálního obsahu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1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3.1</w:t>
            </w:r>
          </w:p>
        </w:tc>
        <w:tc>
          <w:tcPr>
            <w:tcW w:w="5000" w:type="dxa"/>
          </w:tcPr>
          <w:p>
            <w:pPr/>
            <w:r>
              <w:rPr/>
              <w:t xml:space="preserve">Tvorba digitálního obsahu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2.5</w:t>
            </w:r>
          </w:p>
        </w:tc>
        <w:tc>
          <w:tcPr>
            <w:tcW w:w="5000" w:type="dxa"/>
          </w:tcPr>
          <w:p>
            <w:pPr/>
            <w:r>
              <w:rPr/>
              <w:t xml:space="preserve">Netiketa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1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2.4</w:t>
            </w:r>
          </w:p>
        </w:tc>
        <w:tc>
          <w:tcPr>
            <w:tcW w:w="5000" w:type="dxa"/>
          </w:tcPr>
          <w:p>
            <w:pPr/>
            <w:r>
              <w:rPr/>
              <w:t xml:space="preserve">Spolupráce prostřednictvím digitálních technologií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1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2.2</w:t>
            </w:r>
          </w:p>
        </w:tc>
        <w:tc>
          <w:tcPr>
            <w:tcW w:w="5000" w:type="dxa"/>
          </w:tcPr>
          <w:p>
            <w:pPr/>
            <w:r>
              <w:rPr/>
              <w:t xml:space="preserve">Sdílení prostřednictvím digitálních technologií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1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2.1</w:t>
            </w:r>
          </w:p>
        </w:tc>
        <w:tc>
          <w:tcPr>
            <w:tcW w:w="5000" w:type="dxa"/>
          </w:tcPr>
          <w:p>
            <w:pPr/>
            <w:r>
              <w:rPr/>
              <w:t xml:space="preserve">Interakce prostřednictvím digitálních technologií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1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1.3</w:t>
            </w:r>
          </w:p>
        </w:tc>
        <w:tc>
          <w:tcPr>
            <w:tcW w:w="5000" w:type="dxa"/>
          </w:tcPr>
          <w:p>
            <w:pPr/>
            <w:r>
              <w:rPr/>
              <w:t xml:space="preserve">Správa dat, informací a digitálního obsahu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1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1.2</w:t>
            </w:r>
          </w:p>
        </w:tc>
        <w:tc>
          <w:tcPr>
            <w:tcW w:w="5000" w:type="dxa"/>
          </w:tcPr>
          <w:p>
            <w:pPr/>
            <w:r>
              <w:rPr/>
              <w:t xml:space="preserve">Hodnocení dat, informací a digitálního obsahu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1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5.4</w:t>
            </w:r>
          </w:p>
        </w:tc>
        <w:tc>
          <w:tcPr>
            <w:tcW w:w="5000" w:type="dxa"/>
          </w:tcPr>
          <w:p>
            <w:pPr/>
            <w:r>
              <w:rPr/>
              <w:t xml:space="preserve">Identifikace nedostatků v digitálních kompetencích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1</w:t>
            </w:r>
          </w:p>
        </w:tc>
      </w:tr>
    </w:tbl>
    <w:p>
      <w:pPr/>
      <w:r>
        <w:rPr>
          <w:sz w:val="16"/>
          <w:szCs w:val="16"/>
          <w:i w:val="1"/>
          <w:iCs w:val="1"/>
        </w:rPr>
        <w:t xml:space="preserve">Popisy úrovní naleznete zde: https://nsp.cz/downloads/Priloha_c15_manualu.pdf</w:t>
      </w:r>
    </w:p>
    <w:p/>
    <w:p>
      <w:pPr>
        <w:pStyle w:val="Heading3"/>
      </w:pPr>
      <w:bookmarkStart w:id="16" w:name="_Toc16"/>
      <w:r>
        <w:t>Měkké kompetence</w:t>
      </w:r>
      <w:bookmarkEnd w:id="16"/>
    </w:p>
    <w:tbl>
      <w:tblGrid>
        <w:gridCol w:w="2000" w:type="dxa"/>
        <w:gridCol w:w="5000" w:type="dxa"/>
        <w:gridCol w:w="2000" w:type="dxa"/>
      </w:tblGrid>
      <w:tblPr>
        <w:jc w:val="start"/>
        <w:tblW w:w="0" w:type="auto"/>
        <w:tblCellSpacing w:w="50" w:type="dxa"/>
        <w:tblLayout w:type="autofit"/>
        <w:bidiVisual w:val="0"/>
        <w:tblCellMar>
          <w:top w:w="80" w:type="dxa"/>
          <w:left w:w="80" w:type="dxa"/>
          <w:right w:w="80" w:type="dxa"/>
          <w:bottom w:w="80" w:type="dxa"/>
        </w:tblCellMar>
      </w:tblPr>
      <w:tr>
        <w:trPr/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Kód</w:t>
            </w:r>
          </w:p>
        </w:tc>
        <w:tc>
          <w:tcPr>
            <w:tcW w:w="5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Název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Úroveň 0-5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2.1</w:t>
            </w:r>
          </w:p>
        </w:tc>
        <w:tc>
          <w:tcPr>
            <w:tcW w:w="5000" w:type="dxa"/>
          </w:tcPr>
          <w:p>
            <w:pPr/>
            <w:r>
              <w:rPr/>
              <w:t xml:space="preserve">Kompetence k efektivní komunikaci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4.4</w:t>
            </w:r>
          </w:p>
        </w:tc>
        <w:tc>
          <w:tcPr>
            <w:tcW w:w="5000" w:type="dxa"/>
          </w:tcPr>
          <w:p>
            <w:pPr/>
            <w:r>
              <w:rPr/>
              <w:t xml:space="preserve">Kompetence k řešení problémů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4.3</w:t>
            </w:r>
          </w:p>
        </w:tc>
        <w:tc>
          <w:tcPr>
            <w:tcW w:w="5000" w:type="dxa"/>
          </w:tcPr>
          <w:p>
            <w:pPr/>
            <w:r>
              <w:rPr/>
              <w:t xml:space="preserve">Kompetence k podnikavosti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4.2</w:t>
            </w:r>
          </w:p>
        </w:tc>
        <w:tc>
          <w:tcPr>
            <w:tcW w:w="5000" w:type="dxa"/>
          </w:tcPr>
          <w:p>
            <w:pPr/>
            <w:r>
              <w:rPr/>
              <w:t xml:space="preserve">Kompetence k plánování a organizování práce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1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4.1</w:t>
            </w:r>
          </w:p>
        </w:tc>
        <w:tc>
          <w:tcPr>
            <w:tcW w:w="5000" w:type="dxa"/>
          </w:tcPr>
          <w:p>
            <w:pPr/>
            <w:r>
              <w:rPr/>
              <w:t xml:space="preserve">Kompetence k aktivnímu přístupu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3.3</w:t>
            </w:r>
          </w:p>
        </w:tc>
        <w:tc>
          <w:tcPr>
            <w:tcW w:w="5000" w:type="dxa"/>
          </w:tcPr>
          <w:p>
            <w:pPr/>
            <w:r>
              <w:rPr/>
              <w:t xml:space="preserve">Kompetence k objevování a orientaci v informacích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3.2</w:t>
            </w:r>
          </w:p>
        </w:tc>
        <w:tc>
          <w:tcPr>
            <w:tcW w:w="5000" w:type="dxa"/>
          </w:tcPr>
          <w:p>
            <w:pPr/>
            <w:r>
              <w:rPr/>
              <w:t xml:space="preserve">Kompetence ke koncepčnímu myšlení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1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3.1</w:t>
            </w:r>
          </w:p>
        </w:tc>
        <w:tc>
          <w:tcPr>
            <w:tcW w:w="5000" w:type="dxa"/>
          </w:tcPr>
          <w:p>
            <w:pPr/>
            <w:r>
              <w:rPr/>
              <w:t xml:space="preserve">Kompetence k analytickému myšlení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1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2.5</w:t>
            </w:r>
          </w:p>
        </w:tc>
        <w:tc>
          <w:tcPr>
            <w:tcW w:w="5000" w:type="dxa"/>
          </w:tcPr>
          <w:p>
            <w:pPr/>
            <w:r>
              <w:rPr/>
              <w:t xml:space="preserve">Kompetence k sebepoznání a porozumění druhým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1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2.2</w:t>
            </w:r>
          </w:p>
        </w:tc>
        <w:tc>
          <w:tcPr>
            <w:tcW w:w="5000" w:type="dxa"/>
          </w:tcPr>
          <w:p>
            <w:pPr/>
            <w:r>
              <w:rPr/>
              <w:t xml:space="preserve">Kompetence ke kooperaci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1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1.4</w:t>
            </w:r>
          </w:p>
        </w:tc>
        <w:tc>
          <w:tcPr>
            <w:tcW w:w="5000" w:type="dxa"/>
          </w:tcPr>
          <w:p>
            <w:pPr/>
            <w:r>
              <w:rPr/>
              <w:t xml:space="preserve">Kompetence ke zvládání stresu a zátěže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1.2</w:t>
            </w:r>
          </w:p>
        </w:tc>
        <w:tc>
          <w:tcPr>
            <w:tcW w:w="5000" w:type="dxa"/>
          </w:tcPr>
          <w:p>
            <w:pPr/>
            <w:r>
              <w:rPr/>
              <w:t xml:space="preserve">Kompetence k flexibilitě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1.1</w:t>
            </w:r>
          </w:p>
        </w:tc>
        <w:tc>
          <w:tcPr>
            <w:tcW w:w="5000" w:type="dxa"/>
          </w:tcPr>
          <w:p>
            <w:pPr/>
            <w:r>
              <w:rPr/>
              <w:t xml:space="preserve">Kompetence k celoživotnímu vzdělávání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4.6</w:t>
            </w:r>
          </w:p>
        </w:tc>
        <w:tc>
          <w:tcPr>
            <w:tcW w:w="5000" w:type="dxa"/>
          </w:tcPr>
          <w:p>
            <w:pPr/>
            <w:r>
              <w:rPr/>
              <w:t xml:space="preserve">Kompetence k výkonnosti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2.3</w:t>
            </w:r>
          </w:p>
        </w:tc>
        <w:tc>
          <w:tcPr>
            <w:tcW w:w="5000" w:type="dxa"/>
          </w:tcPr>
          <w:p>
            <w:pPr/>
            <w:r>
              <w:rPr/>
              <w:t xml:space="preserve">Kompetence k orientaci na zákazníka a uspokojování zákaznických potřeb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1.3</w:t>
            </w:r>
          </w:p>
        </w:tc>
        <w:tc>
          <w:tcPr>
            <w:tcW w:w="5000" w:type="dxa"/>
          </w:tcPr>
          <w:p>
            <w:pPr/>
            <w:r>
              <w:rPr/>
              <w:t xml:space="preserve">Kompetence ke kreativitě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4.5</w:t>
            </w:r>
          </w:p>
        </w:tc>
        <w:tc>
          <w:tcPr>
            <w:tcW w:w="5000" w:type="dxa"/>
          </w:tcPr>
          <w:p>
            <w:pPr/>
            <w:r>
              <w:rPr/>
              <w:t xml:space="preserve">Kompetence k samostatnosti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</w:t>
            </w:r>
          </w:p>
        </w:tc>
      </w:tr>
    </w:tbl>
    <w:p>
      <w:pPr/>
      <w:r>
        <w:rPr>
          <w:sz w:val="16"/>
          <w:szCs w:val="16"/>
          <w:i w:val="1"/>
          <w:iCs w:val="1"/>
        </w:rPr>
        <w:t xml:space="preserve">Popisy úrovní naleznete zde: https://nsp.cz/downloads/Priloha_c9_manualu.pdf</w:t>
      </w:r>
    </w:p>
    <w:p/>
    <w:p>
      <w:pPr>
        <w:pStyle w:val="Heading2"/>
      </w:pPr>
      <w:bookmarkStart w:id="17" w:name="_Toc17"/>
      <w:r>
        <w:t>Zdravotní podmínky</w:t>
      </w:r>
      <w:bookmarkEnd w:id="17"/>
    </w:p>
    <w:p>
      <w:pPr>
        <w:pStyle w:val="Heading3"/>
      </w:pPr>
      <w:bookmarkStart w:id="18" w:name="_Toc18"/>
      <w:r>
        <w:t>Onemocnění vylučující výkon povolání / specializace povolání.e</w:t>
      </w:r>
      <w:bookmarkEnd w:id="18"/>
    </w:p>
    <w:p>
      <w:pPr>
        <w:numPr>
          <w:ilvl w:val="0"/>
          <w:numId w:val="5"/>
        </w:numPr>
      </w:pPr>
      <w:r>
        <w:rPr/>
        <w:t xml:space="preserve">Onemocnění pohybového a nervového systému, omezující jemnou motoriku, koordinaci pohybů a svalovou sílu</w:t>
      </w:r>
    </w:p>
    <w:p>
      <w:pPr/>
      <w:r>
        <w:rPr>
          <w:sz w:val="16"/>
          <w:szCs w:val="16"/>
          <w:i w:val="1"/>
          <w:iCs w:val="1"/>
        </w:rPr>
        <w:t xml:space="preserve">Přesné posouzení zdravotního stavu s následným doporučením nebo nedoporučením výkonu této pozice je možné pouze po konzultaci s lékařem.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5">
    <w:nsid w:val="29FA8E7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5">
    <w:abstractNumId w:val="5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spacing w:after="120"/>
    </w:pPr>
    <w:rPr>
      <w:sz w:val="40"/>
      <w:szCs w:val="40"/>
      <w:b w:val="1"/>
      <w:bCs w:val="1"/>
    </w:rPr>
  </w:style>
  <w:style w:type="paragraph" w:styleId="Heading2">
    <w:link w:val="Heading2Char"/>
    <w:name w:val="heading 2"/>
    <w:basedOn w:val="Normal"/>
    <w:pPr>
      <w:spacing w:after="80"/>
    </w:pPr>
    <w:rPr>
      <w:sz w:val="28"/>
      <w:szCs w:val="28"/>
      <w:b w:val="1"/>
      <w:bCs w:val="1"/>
    </w:rPr>
  </w:style>
  <w:style w:type="paragraph" w:styleId="Heading3">
    <w:link w:val="Heading3Char"/>
    <w:name w:val="heading 3"/>
    <w:basedOn w:val="Normal"/>
    <w:pPr>
      <w:spacing w:after="60"/>
    </w:pPr>
    <w:rPr>
      <w:sz w:val="24"/>
      <w:szCs w:val="24"/>
      <w:b w:val="1"/>
      <w:bCs w:val="1"/>
    </w:rPr>
  </w:style>
  <w:style w:type="paragraph" w:styleId="Heading4">
    <w:link w:val="Heading4Char"/>
    <w:name w:val="heading 4"/>
    <w:basedOn w:val="Normal"/>
    <w:pPr>
      <w:spacing w:after="60"/>
    </w:pPr>
    <w:rPr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FDV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NSP.CZ</dc:creator>
  <dc:title>Manikér, pedikér</dc:title>
  <dc:description>Manikér, pedikér provádí aplikaci kosmetických přípravků určených pro péči o ruce a nohy za účelem zlepšení a udržování jejich vzhledu, upravuje a zapilovává délku a tvar nehtů a za pomoci dekorativní kosmetiky provádí jejich modeláž a zdobení.</dc:description>
  <dc:subject/>
  <cp:keywords/>
  <cp:category>Povolání</cp:category>
  <cp:lastModifiedBy/>
  <dcterms:created xsi:type="dcterms:W3CDTF">2017-11-22T09:40:49+01:00</dcterms:created>
  <dcterms:modified xsi:type="dcterms:W3CDTF">2023-03-27T13:11:25+02:00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