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Geochemik</w:t>
      </w:r>
      <w:bookmarkEnd w:id="1"/>
    </w:p>
    <w:p>
      <w:pPr/>
      <w:r>
        <w:rPr/>
        <w:t xml:space="preserve"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studijního programu v oblasti přírodních nebo technických věd s geologickým zaměřením a praxi v oboru v délce nejméně tří let nebo alespoň odborná kvalifikace v rozsahu středního vzdělání s maturitní zkouškou s geologickým zaměřením s praxí v oboru nejméně pěti let.</w:t>
      </w:r>
    </w:p>
    <w:p/>
    <w:p/>
    <w:p>
      <w:pPr>
        <w:pStyle w:val="Heading3"/>
      </w:pPr>
      <w:bookmarkStart w:id="8" w:name="_Toc8"/>
      <w:r>
        <w:t>Další vzdělání</w:t>
      </w:r>
      <w:bookmarkEnd w:id="8"/>
    </w:p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projektů a postupu geochemického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Geochemický průzkum ložisek a lokalit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analytického postupu a metodiky průzkumu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analýzy odebraných vzorků zemin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geochemických měření z automatických přístrojů,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geochemického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geochemických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C59D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Geochemik</dc:title>
  <dc:description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dc:description>
  <dc:subject/>
  <cp:keywords/>
  <cp:category>Povolání</cp:category>
  <cp:lastModifiedBy/>
  <dcterms:created xsi:type="dcterms:W3CDTF">2023-02-23T15:32:55+01:00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