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kybernetické bezpečnosti</w:t>
      </w:r>
      <w:bookmarkEnd w:id="1"/>
    </w:p>
    <w:p>
      <w:pPr/>
      <w:r>
        <w:rPr/>
        <w:t xml:space="preserve"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nejvhodnějších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parametrů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Provádění změn a doplňování technologií dle aktuálních vývojových trendů v oblasti informační bezpečnosti.</w:t>
      </w:r>
    </w:p>
    <w:p>
      <w:pPr>
        <w:numPr>
          <w:ilvl w:val="0"/>
          <w:numId w:val="5"/>
        </w:numPr>
      </w:pPr>
      <w:r>
        <w:rPr/>
        <w:t xml:space="preserve">Sledování a zohledňování varování vydávaných podle platné legislativy o kybernetické bezpečnosti, a to zejména tehdy, jestliže na základě ní organizaci vznikají právní povinnosti.</w:t>
      </w:r>
    </w:p>
    <w:p>
      <w:pPr>
        <w:numPr>
          <w:ilvl w:val="0"/>
          <w:numId w:val="5"/>
        </w:numPr>
      </w:pPr>
      <w:r>
        <w:rPr/>
        <w:t xml:space="preserve">Návrh, rozvoj a průběžné doplňování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Operativní provoz technologií pro zajištění kybernetické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a aplikace konfiguračních parametrů technologií pro zajištění kybernetické bezpečnosti informačních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činnosti se zaměřením na technické aspekty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administraci IT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zajištění a obnovení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5FC6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kybernetické bezpečnosti</dc:title>
  <dc:description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