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kriminální policie a vyšetřování</w:t>
      </w:r>
      <w:bookmarkEnd w:id="1"/>
    </w:p>
    <w:p>
      <w:pPr/>
      <w:r>
        <w:rPr/>
        <w:t xml:space="preserve"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kriminální policie a vyšetřování, Příslušník služby kriminální policie a vyšetřování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5323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kriminální policie a vyšetřování</dc:title>
  <dc:description>Komisař služby kriminální policie a vyšetřování provádí policejní činnosti v trestním řízení při odhalování, dokumentaci a vyšetřování skutkově a právně složité trestné činnosti v působnosti útvarů s územně vymezenou působností. Dále může vykonávat specializované analytické činnosti při odhalování a dokumentaci skutkově a právně složité trestné činnosti v rámci útvarů s územně vymezenou působností nižšího stupně.</dc:description>
  <dc:subject/>
  <cp:keywords/>
  <cp:category>Specializace</cp:category>
  <cp:lastModifiedBy/>
  <dcterms:created xsi:type="dcterms:W3CDTF">2017-11-22T09:39:14+01:00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