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pro zbraně a bezpečnostní materiál</w:t>
      </w:r>
      <w:bookmarkEnd w:id="1"/>
    </w:p>
    <w:p>
      <w:pPr/>
      <w:r>
        <w:rPr/>
        <w:t xml:space="preserve">Vrchní komisař služby pro zbraně a střelivo tvůrčím způsobem řeší náročné a složité analytické, metodické a koncepční úkoly a usměrňuje výkon policejní činnosti v rámci služby pro zbraně a střelivo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pro zbraně a bezpečnostní materiál, Příslušník služby pro zbraně a bezpečnostní materiál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agend vydávání osvědčení nebo potvrzení podle zvláštních zákonů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ověřování a došetřování podkladů pro správní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správních činností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vedení soudních sporů včetně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balistika, zbraně, střelivo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C0AD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pro zbraně a bezpečnostní materiál</dc:title>
  <dc:description>Vrchní komisař služby pro zbraně a střelivo tvůrčím způsobem řeší náročné a složité analytické, metodické a koncepční úkoly a usměrňuje výkon policejní činnosti v rámci služby pro zbraně a střelivo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2017-11-22T09:25:18+01:00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