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Mediální plánovač</w:t>
      </w:r>
      <w:bookmarkEnd w:id="1"/>
    </w:p>
    <w:p>
      <w:pPr/>
      <w:r>
        <w:rPr/>
        <w:t xml:space="preserve">Mediální plánovač na základě sběru dat, informací a sledování médií vytváří optimální mediální nabídku klientovi.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Mediální konzultant, Media planner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Interní obhajoba mediálního plánu pro zákazníka.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mediální kampaně.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Mediální plánovač/plánovačka (69-044-M)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mediální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médií, míst a časů pro umístění reklamního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mediální kampaně zadané klientem včetně vyjednání cen v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médií pro zpracování mediálního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mediálního plánu a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D950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Mediální plánovač</dc:title>
  <dc:description>Mediální plánovač na základě sběru dat, informací a sledování médií vytváří optimální mediální nabídku klientovi.</dc:description>
  <dc:subject/>
  <cp:keywords/>
  <cp:category>Specializace</cp:category>
  <cp:lastModifiedBy/>
  <dcterms:created xsi:type="dcterms:W3CDTF">2017-11-22T09:09:31+01:00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