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Pokladník pošty</w:t>
      </w:r>
      <w:bookmarkEnd w:id="1"/>
    </w:p>
    <w:p>
      <w:pPr/>
      <w:r>
        <w:rPr/>
        <w:t xml:space="preserve">Pokladník pošty přijímá a vydává peněžní hotovost a ceniny pro jednotlivá pracoviště pošty a veřejnost.</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Vydávání a příjem peněžní hotovosti a cenin pro jednotlivá pracoviště pošty a veřejnost.</w:t>
      </w:r>
    </w:p>
    <w:p>
      <w:pPr>
        <w:numPr>
          <w:ilvl w:val="0"/>
          <w:numId w:val="5"/>
        </w:numPr>
      </w:pPr>
      <w:r>
        <w:rPr/>
        <w:t xml:space="preserve">Vedení pokladní činnosti na poště.</w:t>
      </w:r>
    </w:p>
    <w:p/>
    <w:p>
      <w:pPr>
        <w:pStyle w:val="Heading2"/>
      </w:pPr>
      <w:bookmarkStart w:id="3" w:name="_Toc3"/>
      <w:r>
        <w:t>CZ-ISCO</w:t>
      </w:r>
      <w:bookmarkEnd w:id="3"/>
    </w:p>
    <w:p>
      <w:pPr>
        <w:numPr>
          <w:ilvl w:val="0"/>
          <w:numId w:val="5"/>
        </w:numPr>
      </w:pPr>
      <w:r>
        <w:rPr/>
        <w:t xml:space="preserve">Pokladníci na poštách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Pokladníci ve finančních institucích, na poštách a pracovníci v příbuzných oborech (CZ-ISCO 4211)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Pokladník/pokladnice pošty (37-051-M)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h26.D.5921</w:t>
            </w:r>
          </w:p>
        </w:tc>
        <w:tc>
          <w:tcPr>
            <w:tcW w:w="3000" w:type="dxa"/>
          </w:tcPr>
          <w:p>
            <w:pPr/>
            <w:r>
              <w:rPr/>
              <w:t xml:space="preserve">Plánování objemu finančních hotovostí a cenin na poště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i11.C.4001</w:t>
            </w:r>
          </w:p>
        </w:tc>
        <w:tc>
          <w:tcPr>
            <w:tcW w:w="3000" w:type="dxa"/>
          </w:tcPr>
          <w:p>
            <w:pPr/>
            <w:r>
              <w:rPr/>
              <w:t xml:space="preserve">Manipulace s penězi (počítání, kasírování, rozměňování)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h26.C.4033</w:t>
            </w:r>
          </w:p>
        </w:tc>
        <w:tc>
          <w:tcPr>
            <w:tcW w:w="3000" w:type="dxa"/>
          </w:tcPr>
          <w:p>
            <w:pPr/>
            <w:r>
              <w:rPr/>
              <w:t xml:space="preserve">Výdej přídělů a přejímka odvodů peněžních hotovostí a cenin pro jednotlivá pracoviště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h26.C.4030</w:t>
            </w:r>
          </w:p>
        </w:tc>
        <w:tc>
          <w:tcPr>
            <w:tcW w:w="3000" w:type="dxa"/>
          </w:tcPr>
          <w:p>
            <w:pPr/>
            <w:r>
              <w:rPr/>
              <w:t xml:space="preserve">Provádění přímých plateb v pokladně pro veřejnost</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5B981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Pokladník pošty</dc:title>
  <dc:description>Pokladník pošty přijímá a vydává peněžní hotovost a ceniny pro jednotlivá pracoviště pošty a veřejnost.</dc:description>
  <dc:subject/>
  <cp:keywords/>
  <cp:category>Specializace</cp:category>
  <cp:lastModifiedBy/>
  <dcterms:created xsi:type="dcterms:W3CDTF">2017-11-22T09:11:23+01:00</dcterms:created>
  <dcterms:modified xsi:type="dcterms:W3CDTF">2024-02-24T23:11:16+01:00</dcterms:modified>
</cp:coreProperties>
</file>

<file path=docProps/custom.xml><?xml version="1.0" encoding="utf-8"?>
<Properties xmlns="http://schemas.openxmlformats.org/officeDocument/2006/custom-properties" xmlns:vt="http://schemas.openxmlformats.org/officeDocument/2006/docPropsVTypes"/>
</file>