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nákladních vozidel a autobusů</w:t>
      </w:r>
      <w:bookmarkEnd w:id="1"/>
    </w:p>
    <w:p>
      <w:pPr/>
      <w:r>
        <w:rPr/>
        <w:t xml:space="preserve">Mechanik nákladních vozidel a autobusů samostatně vykonává údržbářské, opravárenské a seřizovací práce na silničních nákladních vozidlech a autobusech.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automobilů, Autoopravář, Opravář motorových vozidel, Mechanik motorových vozidel, Seřizovač motorových vozidel, Vehicle mechanic, Motor vehicle mechanic, Garage mechanic, Truck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řídící elektronické jednotky motoru, geometrie náprav,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autobusů a trolejbusů</w:t>
      </w:r>
    </w:p>
    <w:p>
      <w:pPr>
        <w:numPr>
          <w:ilvl w:val="0"/>
          <w:numId w:val="5"/>
        </w:numPr>
      </w:pPr>
      <w:r>
        <w:rPr/>
        <w:t xml:space="preserve">Mechanici a opraváři nákladních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nákladních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autobusů a trolejbusů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nákladních vozidel a autobusů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nákladních vozidel a autobusů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nákladních vozidel a autobusů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B77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nákladních vozidel a autobusů</dc:title>
  <dc:description>Mechanik nákladních vozidel a autobusů samostatně vykonává údržbářské, opravárenské a seřizovací práce na silničních nákladních vozidlech a autobusech.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