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osobních vozidel</w:t>
      </w:r>
      <w:bookmarkEnd w:id="1"/>
    </w:p>
    <w:p>
      <w:pPr/>
      <w:r>
        <w:rPr/>
        <w:t xml:space="preserve">Mechanik osobních vozidel provádí samostatně údržbu, diagnostiku závad, opravy a seřizování motorových osobních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Garage mechanic, Motor vehicle mechanic, Vehicle mechanic, Automobile mechanic, Car mechanic, Auto mechanic, Seřizovač motorových vozidel, Mechanik motorových vozidel, Opravář motorových vozidel, Autoopravář, Opravář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řídicí elektronické jednotky motoru, geometrie náprav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příslušenství osobních automobilů (23-103-H)</w:t>
      </w:r>
    </w:p>
    <w:p>
      <w:pPr>
        <w:numPr>
          <w:ilvl w:val="0"/>
          <w:numId w:val="5"/>
        </w:numPr>
      </w:pPr>
      <w:r>
        <w:rPr/>
        <w:t xml:space="preserve">Mechanik/mechanička převodů osobních automobilů (23-101-H)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osobních vozidel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osobních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osobních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0E1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osobních vozidel</dc:title>
  <dc:description>Mechanik osobních vozidel provádí samostatně údržbu, diagnostiku závad, opravy a seřizování motorových osobních vozidel.</dc:description>
  <dc:subject/>
  <cp:keywords/>
  <cp:category>Specializace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