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ovzduší</w:t>
      </w:r>
      <w:bookmarkEnd w:id="1"/>
    </w:p>
    <w:p>
      <w:pPr/>
      <w:r>
        <w:rPr/>
        <w:t xml:space="preserve"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aplikace předpisů, standardů a činností na ochranu ovzduší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ovzduší.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ochrany ovzduší,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hlediska znečištění ovzduší.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ovzduší,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na ochranu ovzduší, jejich udržování v aktuálním stavu a v souladu s rozhodnutím místně příslušného orgánu ochrany ovzduší.</w:t>
      </w:r>
    </w:p>
    <w:p>
      <w:pPr>
        <w:numPr>
          <w:ilvl w:val="0"/>
          <w:numId w:val="5"/>
        </w:numPr>
      </w:pPr>
      <w:r>
        <w:rPr/>
        <w:t xml:space="preserve">Vedení příslušné dokumentace o znečišťování ovzduší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specialista / technička specialistka pro ochranu ovzduší (16-014-T)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funkce ekologického / koncového zařízení v souladu s požadavky právních předpisů,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ovzduší,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BE91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ovzduší</dc:title>
  <dc:description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dc:description>
  <dc:subject/>
  <cp:keywords/>
  <cp:category>Specializace</cp:category>
  <cp:lastModifiedBy/>
  <dcterms:created xsi:type="dcterms:W3CDTF">2017-11-22T09:31:35+01:00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