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Umělecký mozaikář</w:t>
      </w:r>
      <w:bookmarkEnd w:id="0"/>
    </w:p>
    <w:p>
      <w:pPr/>
      <w:r>
        <w:rPr/>
        <w:t xml:space="preserve">Umělecký mozaikář sestavuje originální mozaikové obrazy ze skleněných smaltů a přírodních kamenů jako součást architektury podle návrhů výtvarníků.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  <w:noWrap/>
          </w:tcPr>
          <w:p>
            <w:pPr/>
            <w:r>
              <w:rPr/>
              <w:t xml:space="preserve">Umělecká řemesla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>
            <w:noWrap/>
          </w:tcPr>
          <w:p>
            <w:pPr/>
            <w:r>
              <w:rPr/>
              <w:t xml:space="preserve">nezařazeno do odborného podsměru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>
            <w:noWrap/>
          </w:tcPr>
          <w:p>
            <w:pPr/>
            <w:r>
              <w:rPr/>
              <w:t xml:space="preserve">Střední vzdělání s výučním listem tříleté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>
            <w:noWrap/>
          </w:tcPr>
          <w:p>
            <w:pPr/>
            <w:r>
              <w:rPr/>
              <w:t xml:space="preserve">Inlayer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>
            <w:noWrap/>
          </w:tcPr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1" w:name="_Toc1"/>
      <w:r>
        <w:t>Pracovní činnosti</w:t>
      </w:r>
      <w:bookmarkEnd w:id="1"/>
    </w:p>
    <w:p>
      <w:pPr>
        <w:numPr>
          <w:ilvl w:val="0"/>
          <w:numId w:val="5"/>
        </w:numPr>
      </w:pPr>
      <w:r>
        <w:rPr/>
        <w:t xml:space="preserve">Příprava uměleckořemeslného záměru, studium podkladů, zpracování výtvarného návrhu a technické dokumentace.</w:t>
      </w:r>
    </w:p>
    <w:p>
      <w:pPr>
        <w:numPr>
          <w:ilvl w:val="0"/>
          <w:numId w:val="5"/>
        </w:numPr>
      </w:pPr>
      <w:r>
        <w:rPr/>
        <w:t xml:space="preserve">Volba materiálu a pracovních postupů pro zhotovení uměleckořemeslného výrobku.</w:t>
      </w:r>
    </w:p>
    <w:p>
      <w:pPr>
        <w:numPr>
          <w:ilvl w:val="0"/>
          <w:numId w:val="5"/>
        </w:numPr>
      </w:pPr>
      <w:r>
        <w:rPr/>
        <w:t xml:space="preserve">Příprava a úprava surovin a materiálů.</w:t>
      </w:r>
    </w:p>
    <w:p>
      <w:pPr>
        <w:numPr>
          <w:ilvl w:val="0"/>
          <w:numId w:val="5"/>
        </w:numPr>
      </w:pPr>
      <w:r>
        <w:rPr/>
        <w:t xml:space="preserve">Vytváření uměleckořemeslného výrobku ručně nebo s použitím nástrojů.</w:t>
      </w:r>
    </w:p>
    <w:p>
      <w:pPr>
        <w:numPr>
          <w:ilvl w:val="0"/>
          <w:numId w:val="5"/>
        </w:numPr>
      </w:pPr>
      <w:r>
        <w:rPr/>
        <w:t xml:space="preserve">Opravy, obnova, údržba a rekonstrukce uměleckořemeslných mozaikových děl.</w:t>
      </w:r>
    </w:p>
    <w:p>
      <w:pPr>
        <w:numPr>
          <w:ilvl w:val="0"/>
          <w:numId w:val="5"/>
        </w:numPr>
      </w:pPr>
      <w:r>
        <w:rPr/>
        <w:t xml:space="preserve">Konečná úprava uměleckořemeslných výrobků.</w:t>
      </w:r>
    </w:p>
    <w:p/>
    <w:p>
      <w:pPr>
        <w:pStyle w:val="Heading2"/>
      </w:pPr>
      <w:bookmarkStart w:id="2" w:name="_Toc2"/>
      <w:r>
        <w:t>CZ-ISCO</w:t>
      </w:r>
      <w:bookmarkEnd w:id="2"/>
    </w:p>
    <w:p>
      <w:pPr>
        <w:numPr>
          <w:ilvl w:val="0"/>
          <w:numId w:val="5"/>
        </w:numPr>
      </w:pPr>
      <w:r>
        <w:rPr/>
        <w:t xml:space="preserve">Umělečtí skláři a umělečtí sklenáři</w:t>
      </w:r>
    </w:p>
    <w:p>
      <w:pPr>
        <w:numPr>
          <w:ilvl w:val="0"/>
          <w:numId w:val="5"/>
        </w:numPr>
      </w:pPr>
      <w:r>
        <w:rPr/>
        <w:t xml:space="preserve">Umělečtí keramici</w:t>
      </w:r>
    </w:p>
    <w:p>
      <w:pPr>
        <w:numPr>
          <w:ilvl w:val="0"/>
          <w:numId w:val="5"/>
        </w:numPr>
      </w:pPr>
      <w:r>
        <w:rPr/>
        <w:t xml:space="preserve">Skláři, brusiči skla, výrobci bižuterie a skleněných ozdob</w:t>
      </w:r>
    </w:p>
    <w:p>
      <w:pPr>
        <w:numPr>
          <w:ilvl w:val="0"/>
          <w:numId w:val="5"/>
        </w:numPr>
      </w:pPr>
      <w:r>
        <w:rPr/>
        <w:t xml:space="preserve">Keramici a pracovníci v příbuzných oborech</w:t>
      </w:r>
    </w:p>
    <w:p/>
    <w:p>
      <w:pPr>
        <w:pStyle w:val="Heading4"/>
      </w:pPr>
      <w:bookmarkStart w:id="3" w:name="_Toc3"/>
      <w:r>
        <w:t>Keramici a pracovníci v příbuzných oborech (CZ-ISCO 7314)</w:t>
      </w:r>
      <w:bookmarkEnd w:id="3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  <w:noWrap/>
          </w:tcPr>
          <w:p/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  <w:noWrap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44 971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55 641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60 894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38 197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45 424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54 682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</w:tbl>
    <w:p/>
    <w:p>
      <w:pPr>
        <w:pStyle w:val="Heading3"/>
      </w:pPr>
      <w:bookmarkStart w:id="4" w:name="_Toc4"/>
      <w:r>
        <w:t>Hrubé měsíční mzdy v roce 2025 celkem</w:t>
      </w:r>
      <w:bookmarkEnd w:id="4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  <w:noWrap/>
          </w:tcPr>
          <w:p/>
        </w:tc>
        <w:tc>
          <w:tcPr>
            <w:tcW w:w="6000" w:type="dxa"/>
            <w:gridSpan w:val="2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  <w:noWrap/>
          </w:tcPr>
          <w:p/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7314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Keramici a pracovníci v příbuzných oborech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46 825 Kč</w:t>
            </w:r>
          </w:p>
        </w:tc>
      </w:tr>
    </w:tbl>
    <w:p/>
    <w:p>
      <w:pPr>
        <w:pStyle w:val="Heading2"/>
      </w:pPr>
      <w:bookmarkStart w:id="5" w:name="_Toc5"/>
      <w:r>
        <w:t>ESCO</w:t>
      </w:r>
      <w:bookmarkEnd w:id="5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7315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Skláři, brusiči skla a pracovníci při konečné úpravě skla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http://data.europa.eu/esco/isco/C7315</w:t>
            </w:r>
          </w:p>
        </w:tc>
      </w:tr>
    </w:tbl>
    <w:p/>
    <w:p/>
    <w:p/>
    <w:p>
      <w:pPr>
        <w:pStyle w:val="Heading2"/>
      </w:pPr>
      <w:bookmarkStart w:id="6" w:name="_Toc6"/>
      <w:r>
        <w:t>Pracovní podmínky</w:t>
      </w:r>
      <w:bookmarkEnd w:id="6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7" w:name="_Toc7"/>
      <w:r>
        <w:t>Kvalifikace k výkonu povolání</w:t>
      </w:r>
      <w:bookmarkEnd w:id="7"/>
    </w:p>
    <w:p>
      <w:pPr>
        <w:pStyle w:val="Heading3"/>
      </w:pPr>
      <w:bookmarkStart w:id="8" w:name="_Toc8"/>
      <w:r>
        <w:t>Školní vzdělání</w:t>
      </w:r>
      <w:bookmarkEnd w:id="8"/>
    </w:p>
    <w:p/>
    <w:p>
      <w:pPr>
        <w:pStyle w:val="Heading4"/>
      </w:pPr>
      <w:bookmarkStart w:id="9" w:name="_Toc9"/>
      <w:r>
        <w:t>Nejvhodnější školní přípravu poskytují obory:</w:t>
      </w:r>
      <w:bookmarkEnd w:id="9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výučním listem v oboru výtvarné a uměleckořemeslné práce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8251H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maturitní zkouškou v oboru výtvarné a uměleckořemeslné práce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8251L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Umělecký keramik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82-51-H/04</w:t>
            </w:r>
          </w:p>
        </w:tc>
      </w:tr>
    </w:tbl>
    <w:p/>
    <w:p>
      <w:pPr>
        <w:pStyle w:val="Heading4"/>
      </w:pPr>
      <w:bookmarkStart w:id="10" w:name="_Toc10"/>
      <w:r>
        <w:t>Vhodnou školní přípravu poskytují také obory:</w:t>
      </w:r>
      <w:bookmarkEnd w:id="10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</w:tbl>
    <w:p/>
    <w:p>
      <w:pPr>
        <w:pStyle w:val="Heading2"/>
      </w:pPr>
      <w:bookmarkStart w:id="11" w:name="_Toc11"/>
      <w:r>
        <w:t>Kompetenční požadavky</w:t>
      </w:r>
      <w:bookmarkEnd w:id="11"/>
    </w:p>
    <w:p>
      <w:pPr>
        <w:pStyle w:val="Heading3"/>
      </w:pPr>
      <w:bookmarkStart w:id="12" w:name="_Toc12"/>
      <w:r>
        <w:t>Odborné dovednosti</w:t>
      </w:r>
      <w:bookmarkEnd w:id="12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e61.D.1461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Orientace v podkladech a v technické dokumentaci pro sestavování originálních mozaikových obrazů ze skleněných smaltů a přírodních kamenů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e61.D.2461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Volba postupu práce, způsobu zpracování, nástrojů a materiálů pro sestavování originálních mozaikových obrazů ze skleněných smaltů a přírodních kamenů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e61.D.7461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Samostatné zpracování výtvarného záměru pro sestavování originálních mozaikových obrazů ze skleněných smaltů a přírodních kamenů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e61.A.1462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Ruční sekání a štípání barevných sklosmaltů a kamenů do polotovarů k sestavování mozaikových obrazů, včetně výběru materiálů dle struktury a barev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e61.A.1463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Ruční vysazování mozaik z kamene, skla nebo keramiky negativní technikou na papír nebo technikou přímého vysazování (alla prima)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e61.A.3461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Příprava a úprava surovin a materiálů pro sestavování originálních mozaikových obrazů ze skleněných smaltů a přírodních kamenů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e61.A.3462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Příprava na sestavování mozaikových obrazů kopírováním kartonů pomocí pauzy, prováděním rastru, zaměřováním a přenášením kreseb na stěnu nebo panel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e61.A.3463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Sestavování, vytváření a montáž nejsložitějších a unikátních mozaikových obrazů dle výtvarných návrhů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e61.A.1461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Ruční opravy, obnova, údržba a rekonstrukce cenných mozaikových děl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3" w:name="_Toc13"/>
      <w:r>
        <w:t>Odborné znalosti</w:t>
      </w:r>
      <w:bookmarkEnd w:id="13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e61._.0046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technologie zhotovování mozaikových ploch ze skla, keramiky a kamene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e62._.0052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druhy keramiky a jejich vlastnosti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e62._.0056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druhy přírodního kamene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e62._.0057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technologie opracování přírodního kamene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e61._.0032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druhy skla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m11._.0011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dějiny umění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m13._.0013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zásady a postupy konzervátorských a restaurátorských prací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4" w:name="_Toc14"/>
      <w:r>
        <w:t>Digitální kompetence</w:t>
      </w:r>
      <w:bookmarkEnd w:id="14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5" w:name="_Toc15"/>
      <w:r>
        <w:t>Měkké kompetence</w:t>
      </w:r>
      <w:bookmarkEnd w:id="15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2.6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vedení lidí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orientaci na zákazníka a uspokojování zákaznických potřeb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kreativitě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ovlivňování a rozvíjení ostatních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6" w:name="_Toc16"/>
      <w:r>
        <w:t>Zdravotní podmínky</w:t>
      </w:r>
      <w:bookmarkEnd w:id="16"/>
    </w:p>
    <w:p>
      <w:pPr>
        <w:pStyle w:val="Heading3"/>
      </w:pPr>
      <w:bookmarkStart w:id="17" w:name="_Toc17"/>
      <w:r>
        <w:t>Onemocnění omezující výkon povolání / specializace povolání.</w:t>
      </w:r>
      <w:bookmarkEnd w:id="17"/>
    </w:p>
    <w:p>
      <w:pPr>
        <w:numPr>
          <w:ilvl w:val="0"/>
          <w:numId w:val="5"/>
        </w:numPr>
      </w:pPr>
      <w:r>
        <w:rPr/>
        <w:t xml:space="preserve">Onemocnění oběhové soustavy</w:t>
      </w:r>
    </w:p>
    <w:p>
      <w:pPr>
        <w:numPr>
          <w:ilvl w:val="0"/>
          <w:numId w:val="5"/>
        </w:numPr>
      </w:pPr>
      <w:r>
        <w:rPr/>
        <w:t xml:space="preserve">Závažná onemocnění dýchacích cest a plic</w:t>
      </w:r>
    </w:p>
    <w:p>
      <w:pPr>
        <w:numPr>
          <w:ilvl w:val="0"/>
          <w:numId w:val="5"/>
        </w:numPr>
      </w:pPr>
      <w:r>
        <w:rPr/>
        <w:t xml:space="preserve">Závažná onemocnění ledvin, močových cest</w:t>
      </w:r>
    </w:p>
    <w:p>
      <w:pPr>
        <w:numPr>
          <w:ilvl w:val="0"/>
          <w:numId w:val="5"/>
        </w:numPr>
      </w:pPr>
      <w:r>
        <w:rPr/>
        <w:t xml:space="preserve">Závažná degenerativní a zánětlivá onemocnění pohybového systému</w:t>
      </w:r>
    </w:p>
    <w:p>
      <w:pPr>
        <w:numPr>
          <w:ilvl w:val="0"/>
          <w:numId w:val="5"/>
        </w:numPr>
      </w:pPr>
      <w:r>
        <w:rPr/>
        <w:t xml:space="preserve">Prognosticky závažná endokrinní onemocnění včetně diabetes mellitus</w:t>
      </w:r>
    </w:p>
    <w:p>
      <w:pPr>
        <w:numPr>
          <w:ilvl w:val="0"/>
          <w:numId w:val="5"/>
        </w:numPr>
      </w:pPr>
      <w:r>
        <w:rPr/>
        <w:t xml:space="preserve">Závažná chronická onemocnění kůže a spojivek</w:t>
      </w:r>
    </w:p>
    <w:p>
      <w:pPr>
        <w:numPr>
          <w:ilvl w:val="0"/>
          <w:numId w:val="5"/>
        </w:numPr>
      </w:pPr>
      <w:r>
        <w:rPr/>
        <w:t xml:space="preserve">Závažná orgánová onemocnění podle toxikologických vlastností látek</w:t>
      </w:r>
    </w:p>
    <w:p>
      <w:pPr>
        <w:numPr>
          <w:ilvl w:val="0"/>
          <w:numId w:val="5"/>
        </w:numPr>
      </w:pPr>
      <w:r>
        <w:rPr/>
        <w:t xml:space="preserve">Onemocnění pohybového a nervového systému, omezující jemnou motoriku, koordinaci pohybů a svalovou sílu</w:t>
      </w:r>
    </w:p>
    <w:p>
      <w:pPr>
        <w:numPr>
          <w:ilvl w:val="0"/>
          <w:numId w:val="5"/>
        </w:numPr>
      </w:pPr>
      <w:r>
        <w:rPr/>
        <w:t xml:space="preserve">Závrať jakékoliv etiologie</w:t>
      </w:r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>
        <w:numPr>
          <w:ilvl w:val="0"/>
          <w:numId w:val="5"/>
        </w:numPr>
      </w:pPr>
      <w:r>
        <w:rPr/>
        <w:t xml:space="preserve">Závažné stavy po úrazech či operacích pohybového systému</w:t>
      </w:r>
    </w:p>
    <w:p>
      <w:pPr>
        <w:pStyle w:val="Heading3"/>
      </w:pPr>
      <w:bookmarkStart w:id="18" w:name="_Toc18"/>
      <w:r>
        <w:t>Onemocnění vylučující výkon povolání / specializace povolání.e</w:t>
      </w:r>
      <w:bookmarkEnd w:id="18"/>
    </w:p>
    <w:p>
      <w:pPr>
        <w:numPr>
          <w:ilvl w:val="0"/>
          <w:numId w:val="5"/>
        </w:numPr>
      </w:pPr>
      <w:r>
        <w:rPr/>
        <w:t xml:space="preserve">Prognosticky závažná onemocnění cév a nervů horních končetin</w:t>
      </w:r>
    </w:p>
    <w:p>
      <w:pPr>
        <w:numPr>
          <w:ilvl w:val="0"/>
          <w:numId w:val="5"/>
        </w:numPr>
      </w:pPr>
      <w:r>
        <w:rPr/>
        <w:t xml:space="preserve">Prognosticky závažné onemocnění dýchacích cest a plic</w:t>
      </w:r>
    </w:p>
    <w:p>
      <w:pPr>
        <w:numPr>
          <w:ilvl w:val="0"/>
          <w:numId w:val="5"/>
        </w:numPr>
      </w:pPr>
      <w:r>
        <w:rPr/>
        <w:t xml:space="preserve">Záchvatovité a kolapsové stavy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9ED7B80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Umělecký mozaikář</dc:title>
  <dc:description>Umělecký mozaikář sestavuje originální mozaikové obrazy ze skleněných smaltů a přírodních kamenů jako součást architektury podle návrhů výtvarníků.</dc:description>
  <dc:subject/>
  <cp:keywords/>
  <cp:category>Povolání</cp:category>
  <cp:lastModifiedBy/>
  <dcterms:created xsi:type="dcterms:W3CDTF">2017-11-22T09:40:10+00:00</dcterms:created>
  <dcterms:modified xsi:type="dcterms:W3CDTF">2024-03-26T10:03:33+00:00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