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na protidrogovou koordinaci</w:t>
      </w:r>
      <w:bookmarkEnd w:id="1"/>
    </w:p>
    <w:p>
      <w:pPr/>
      <w:r>
        <w:rPr/>
        <w:t xml:space="preserve"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poradenská, konzultační a kontrolní činnost v oblasti protidrogové koordinace v ÚSC.</w:t>
      </w:r>
    </w:p>
    <w:p>
      <w:pPr>
        <w:numPr>
          <w:ilvl w:val="0"/>
          <w:numId w:val="5"/>
        </w:numPr>
      </w:pPr>
      <w:r>
        <w:rPr/>
        <w:t xml:space="preserve">Tvorba analýz a koncepcí v oblasti protidrogové prevence v ÚSC včetně jejich koordinace.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protidrogové prevence,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protidrogové prevence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protidrogové prevence v ÚSC.</w:t>
      </w:r>
    </w:p>
    <w:p>
      <w:pPr>
        <w:numPr>
          <w:ilvl w:val="0"/>
          <w:numId w:val="5"/>
        </w:numPr>
      </w:pPr>
      <w:r>
        <w:rPr/>
        <w:t xml:space="preserve">Pořádání seminářů a konferencí k odborným otázkám v oblasti protidrogové politiky v ÚSC, tvorba systému vzdělávání v oblasti protidrogové politiky a její prezentace na veřejnosti.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ÚSC v krizových situacích týkajících se drogové problematiky.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oblasti protidrogové prevence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protidrogové politiky kraje a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 oblasti prevence sociálně nežádoucích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5834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na protidrogovou koordinaci</dc:title>
  <dc:description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