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Záchranář pro lyžařské tratě</w:t>
      </w:r>
      <w:bookmarkEnd w:id="1"/>
    </w:p>
    <w:p>
      <w:pPr/>
      <w:r>
        <w:rPr/>
        <w:t xml:space="preserve">Záchranář pro lyžařské tratě zajišťuje záchranné činnosti, transport zraněných v rámci lyžařského areálu a poskytuje první pomoc.</w:t>
      </w:r>
    </w:p>
    <w:p/>
    <w:tbl>
      <w:tblGrid>
        <w:gridCol w:w="3000" w:type="dxa"/>
        <w:gridCol w:w="6000" w:type="dxa"/>
      </w:tblGrid>
      <w:tblPr>
        <w:jc w:val="start"/>
        <w:tblW w:w="0" w:type="auto"/>
        <w:tblCellSpacing w:w="50" w:type="dxa"/>
        <w:tblLayout w:type="autofit"/>
        <w:bidiVisual w:val="0"/>
        <w:tblCellMar>
          <w:top w:w="80" w:type="dxa"/>
          <w:left w:w="80" w:type="dxa"/>
          <w:right w:w="80" w:type="dxa"/>
          <w:bottom w:w="80" w:type="dxa"/>
        </w:tblCellMar>
      </w:tblPr>
      <w:tr>
        <w:trPr/>
        <w:tc>
          <w:tcPr>
            <w:tcW w:w="3000" w:type="dxa"/>
          </w:tcPr>
          <w:p>
            <w:pPr/>
            <w:r>
              <w:rPr>
                <w:b w:val="1"/>
                <w:bCs w:val="1"/>
              </w:rPr>
              <w:t xml:space="preserve">Odborný směr:</w:t>
            </w:r>
          </w:p>
        </w:tc>
        <w:tc>
          <w:tcPr>
            <w:tcW w:w="6000" w:type="dxa"/>
          </w:tcPr>
          <w:p>
            <w:pPr/>
            <w:r>
              <w:rPr/>
              <w:t xml:space="preserve">Ochrana majetku, osob a zdraví</w:t>
            </w:r>
          </w:p>
        </w:tc>
      </w:tr>
      <w:tr>
        <w:trPr/>
        <w:tc>
          <w:tcPr/>
          <w:p>
            <w:pPr/>
            <w:r>
              <w:rPr>
                <w:b w:val="1"/>
                <w:bCs w:val="1"/>
              </w:rPr>
              <w:t xml:space="preserve">Odborný podsměr:</w:t>
            </w:r>
          </w:p>
        </w:tc>
        <w:tc>
          <w:tcPr/>
          <w:p>
            <w:pPr/>
            <w:r>
              <w:rPr/>
              <w:t xml:space="preserve">záchranná činnost</w:t>
            </w:r>
          </w:p>
        </w:tc>
      </w:tr>
      <w:tr>
        <w:trPr/>
        <w:tc>
          <w:tcPr/>
          <w:p>
            <w:pPr/>
            <w:r>
              <w:rPr>
                <w:b w:val="1"/>
                <w:bCs w:val="1"/>
              </w:rPr>
              <w:t xml:space="preserve">Kvalifikační úroveň:</w:t>
            </w:r>
          </w:p>
        </w:tc>
        <w:tc>
          <w:tcPr/>
          <w:p>
            <w:pPr/>
            <w:r>
              <w:rPr/>
              <w:t xml:space="preserve">Střední vzdělání s maturitní zkouškou; Střední vzdělání s výučním listem i maturitní zkouškou</w:t>
            </w:r>
          </w:p>
        </w:tc>
      </w:tr>
      <w:tr>
        <w:trPr/>
        <w:tc>
          <w:tcPr/>
          <w:p>
            <w:pPr/>
            <w:r>
              <w:rPr>
                <w:b w:val="1"/>
                <w:bCs w:val="1"/>
              </w:rPr>
              <w:t xml:space="preserve">Alternativní názvy:</w:t>
            </w:r>
          </w:p>
        </w:tc>
        <w:tc>
          <w:tcPr/>
          <w:p>
            <w:pPr/>
            <w:r>
              <w:rPr/>
              <w:t xml:space="preserve">First respondent for ski slopes, Rettungsdienst für Skipisten</w:t>
            </w:r>
          </w:p>
        </w:tc>
      </w:tr>
      <w:tr>
        <w:trPr/>
        <w:tc>
          <w:tcPr/>
          <w:p>
            <w:pPr/>
            <w:r>
              <w:rPr>
                <w:b w:val="1"/>
                <w:bCs w:val="1"/>
              </w:rPr>
              <w:t xml:space="preserve">Regulovaná jednotka práce:</w:t>
            </w:r>
          </w:p>
        </w:tc>
        <w:tc>
          <w:tcPr/>
          <w:p>
            <w:pPr/>
            <w:r>
              <w:rPr/>
              <w:t xml:space="preserve">ne</w:t>
            </w:r>
          </w:p>
        </w:tc>
      </w:tr>
    </w:tbl>
    <w:p/>
    <w:p>
      <w:pPr>
        <w:pStyle w:val="Heading2"/>
      </w:pPr>
      <w:bookmarkStart w:id="2" w:name="_Toc2"/>
      <w:r>
        <w:t>Pracovní činnosti</w:t>
      </w:r>
      <w:bookmarkEnd w:id="2"/>
    </w:p>
    <w:p>
      <w:pPr>
        <w:numPr>
          <w:ilvl w:val="0"/>
          <w:numId w:val="5"/>
        </w:numPr>
      </w:pPr>
      <w:r>
        <w:rPr/>
        <w:t xml:space="preserve">Organizace a provádění záchranných akcí v lyžařských střediscích.</w:t>
      </w:r>
    </w:p>
    <w:p>
      <w:pPr>
        <w:numPr>
          <w:ilvl w:val="0"/>
          <w:numId w:val="5"/>
        </w:numPr>
      </w:pPr>
      <w:r>
        <w:rPr/>
        <w:t xml:space="preserve">Poskytování první pomoci a zajišťování transportu zraněných.</w:t>
      </w:r>
    </w:p>
    <w:p>
      <w:pPr>
        <w:numPr>
          <w:ilvl w:val="0"/>
          <w:numId w:val="5"/>
        </w:numPr>
      </w:pPr>
      <w:r>
        <w:rPr/>
        <w:t xml:space="preserve">Vytváření podmínek pro bezpečnost návštěvníků lyžařských středisek.</w:t>
      </w:r>
    </w:p>
    <w:p>
      <w:pPr>
        <w:numPr>
          <w:ilvl w:val="0"/>
          <w:numId w:val="5"/>
        </w:numPr>
      </w:pPr>
      <w:r>
        <w:rPr/>
        <w:t xml:space="preserve">Instalace a údržba výstražných a informačních zařízení.</w:t>
      </w:r>
    </w:p>
    <w:p>
      <w:pPr>
        <w:numPr>
          <w:ilvl w:val="0"/>
          <w:numId w:val="5"/>
        </w:numPr>
      </w:pPr>
      <w:r>
        <w:rPr/>
        <w:t xml:space="preserve">Hlídková činnost na sjezdových tratích.</w:t>
      </w:r>
    </w:p>
    <w:p>
      <w:pPr>
        <w:numPr>
          <w:ilvl w:val="0"/>
          <w:numId w:val="5"/>
        </w:numPr>
      </w:pPr>
      <w:r>
        <w:rPr/>
        <w:t xml:space="preserve">Zajišťování pohotovostní služby.</w:t>
      </w:r>
    </w:p>
    <w:p>
      <w:pPr>
        <w:numPr>
          <w:ilvl w:val="0"/>
          <w:numId w:val="5"/>
        </w:numPr>
      </w:pPr>
      <w:r>
        <w:rPr/>
        <w:t xml:space="preserve">Vedení příslušné evidence.</w:t>
      </w:r>
    </w:p>
    <w:p/>
    <w:p>
      <w:pPr>
        <w:pStyle w:val="Heading2"/>
      </w:pPr>
      <w:bookmarkStart w:id="3" w:name="_Toc3"/>
      <w:r>
        <w:t>CZ-ISCO</w:t>
      </w:r>
      <w:bookmarkEnd w:id="3"/>
    </w:p>
    <w:p>
      <w:pPr>
        <w:numPr>
          <w:ilvl w:val="0"/>
          <w:numId w:val="5"/>
        </w:numPr>
      </w:pPr>
      <w:r>
        <w:rPr/>
        <w:t xml:space="preserve">Pracovníci horské záchranné služby</w:t>
      </w:r>
    </w:p>
    <w:p>
      <w:pPr>
        <w:numPr>
          <w:ilvl w:val="0"/>
          <w:numId w:val="5"/>
        </w:numPr>
      </w:pPr>
      <w:r>
        <w:rPr/>
        <w:t xml:space="preserve">Pracovníci v oblasti ochrany a ostrahy jinde neuvedení</w:t>
      </w:r>
    </w:p>
    <w:p/>
    <w:p>
      <w:pPr>
        <w:pStyle w:val="Heading3"/>
      </w:pPr>
      <w:bookmarkStart w:id="4" w:name="_Toc4"/>
      <w:r>
        <w:t>Hrubé měsíční mzdy podle krajů v roce 2024</w:t>
      </w:r>
      <w:bookmarkEnd w:id="4"/>
    </w:p>
    <w:p>
      <w:pPr>
        <w:pStyle w:val="Heading4"/>
      </w:pPr>
      <w:bookmarkStart w:id="5" w:name="_Toc5"/>
      <w:r>
        <w:t>Pracovníci v oblasti ochrany a ostrahy jinde neuvedení (CZ-ISCO 5419)</w:t>
      </w:r>
      <w:bookmarkEnd w:id="5"/>
    </w:p>
    <w:tbl>
      <w:tblGrid>
        <w:gridCol w:w="2400" w:type="dxa"/>
        <w:gridCol w:w="1100" w:type="dxa"/>
        <w:gridCol w:w="1100" w:type="dxa"/>
        <w:gridCol w:w="1100" w:type="dxa"/>
        <w:gridCol w:w="1100" w:type="dxa"/>
        <w:gridCol w:w="1100" w:type="dxa"/>
        <w:gridCol w:w="1100" w:type="dxa"/>
      </w:tblGrid>
      <w:tblPr>
        <w:jc w:val="start"/>
        <w:tblW w:w="0" w:type="auto"/>
        <w:tblCellSpacing w:w="50" w:type="dxa"/>
        <w:tblLayout w:type="autofit"/>
        <w:bidiVisual w:val="0"/>
        <w:tblCellMar>
          <w:top w:w="80" w:type="dxa"/>
          <w:left w:w="80" w:type="dxa"/>
          <w:right w:w="80" w:type="dxa"/>
          <w:bottom w:w="80" w:type="dxa"/>
        </w:tblCellMar>
      </w:tblPr>
      <w:tr>
        <w:trPr/>
        <w:tc>
          <w:tcPr>
            <w:tcW w:w="2400" w:type="dxa"/>
          </w:tcPr>
          <w:p/>
        </w:tc>
        <w:tc>
          <w:tcPr>
            <w:tcW w:w="3300" w:type="dxa"/>
            <w:gridSpan w:val="3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Mzdová sféra</w:t>
            </w:r>
          </w:p>
        </w:tc>
        <w:tc>
          <w:tcPr>
            <w:tcW w:w="3300" w:type="dxa"/>
            <w:gridSpan w:val="3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Platová sféra</w:t>
            </w:r>
          </w:p>
        </w:tc>
      </w:tr>
      <w:tr>
        <w:trPr/>
        <w:tc>
          <w:tcPr>
            <w:tcW w:w="2400" w:type="dxa"/>
          </w:tcPr>
          <w:p>
            <w:pPr/>
            <w:r>
              <w:rPr>
                <w:b w:val="1"/>
                <w:bCs w:val="1"/>
              </w:rPr>
              <w:t xml:space="preserve">Kraj</w:t>
            </w:r>
          </w:p>
        </w:tc>
        <w:tc>
          <w:tcPr>
            <w:tcW w:w="11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Od</w:t>
            </w:r>
          </w:p>
        </w:tc>
        <w:tc>
          <w:tcPr>
            <w:tcW w:w="11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Medián</w:t>
            </w:r>
          </w:p>
        </w:tc>
        <w:tc>
          <w:tcPr>
            <w:tcW w:w="11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Do</w:t>
            </w:r>
          </w:p>
        </w:tc>
        <w:tc>
          <w:tcPr>
            <w:tcW w:w="11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Od</w:t>
            </w:r>
          </w:p>
        </w:tc>
        <w:tc>
          <w:tcPr>
            <w:tcW w:w="11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Medián</w:t>
            </w:r>
          </w:p>
        </w:tc>
        <w:tc>
          <w:tcPr>
            <w:tcW w:w="11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Do</w:t>
            </w:r>
          </w:p>
        </w:tc>
      </w:tr>
      <w:tr>
        <w:trPr/>
        <w:tc>
          <w:tcPr>
            <w:tcW w:w="2000" w:type="dxa"/>
          </w:tcPr>
          <w:p>
            <w:pPr/>
            <w:r>
              <w:rPr/>
              <w:t xml:space="preserve">Středočeský kraj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41 237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81 249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99 548 Kč</w:t>
            </w:r>
          </w:p>
        </w:tc>
        <w:tc>
          <w:tcPr>
            <w:tcW w:w="1000" w:type="dxa"/>
          </w:tcPr>
          <w:p/>
        </w:tc>
        <w:tc>
          <w:tcPr>
            <w:tcW w:w="1000" w:type="dxa"/>
          </w:tcPr>
          <w:p/>
        </w:tc>
        <w:tc>
          <w:tcPr>
            <w:tcW w:w="1000" w:type="dxa"/>
          </w:tcPr>
          <w:p/>
        </w:tc>
      </w:tr>
    </w:tbl>
    <w:p/>
    <w:p>
      <w:pPr>
        <w:pStyle w:val="Heading3"/>
      </w:pPr>
      <w:bookmarkStart w:id="6" w:name="_Toc6"/>
      <w:r>
        <w:t>Hrubé měsíční mzdy v roce 2024 celkem</w:t>
      </w:r>
      <w:bookmarkEnd w:id="6"/>
    </w:p>
    <w:tbl>
      <w:tblGrid>
        <w:gridCol w:w="1000" w:type="dxa"/>
        <w:gridCol w:w="2000" w:type="dxa"/>
        <w:gridCol w:w="3000" w:type="dxa"/>
        <w:gridCol w:w="3000" w:type="dxa"/>
      </w:tblGrid>
      <w:tblPr>
        <w:jc w:val="start"/>
        <w:tblW w:w="0" w:type="auto"/>
        <w:tblCellSpacing w:w="50" w:type="dxa"/>
        <w:tblLayout w:type="autofit"/>
        <w:bidiVisual w:val="0"/>
        <w:tblCellMar>
          <w:top w:w="80" w:type="dxa"/>
          <w:left w:w="80" w:type="dxa"/>
          <w:right w:w="80" w:type="dxa"/>
          <w:bottom w:w="80" w:type="dxa"/>
        </w:tblCellMar>
      </w:tblPr>
      <w:tr>
        <w:trPr/>
        <w:tc>
          <w:tcPr>
            <w:tcW w:w="3000" w:type="dxa"/>
            <w:gridSpan w:val="2"/>
          </w:tcPr>
          <w:p/>
        </w:tc>
        <w:tc>
          <w:tcPr>
            <w:tcW w:w="6000" w:type="dxa"/>
            <w:gridSpan w:val="2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Medián za ČR celkem</w:t>
            </w:r>
          </w:p>
        </w:tc>
      </w:tr>
      <w:tr>
        <w:trPr/>
        <w:tc>
          <w:tcPr>
            <w:tcW w:w="1000" w:type="dxa"/>
          </w:tcPr>
          <w:p>
            <w:pPr/>
            <w:r>
              <w:rPr>
                <w:b w:val="1"/>
                <w:bCs w:val="1"/>
              </w:rPr>
              <w:t xml:space="preserve">CZ-ISCO</w:t>
            </w:r>
          </w:p>
        </w:tc>
        <w:tc>
          <w:tcPr>
            <w:tcW w:w="2000" w:type="dxa"/>
          </w:tcPr>
          <w:p/>
        </w:tc>
        <w:tc>
          <w:tcPr>
            <w:tcW w:w="3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Mzdová sféra</w:t>
            </w:r>
          </w:p>
        </w:tc>
        <w:tc>
          <w:tcPr>
            <w:tcW w:w="3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Platová sféra</w:t>
            </w:r>
          </w:p>
        </w:tc>
      </w:tr>
      <w:tr>
        <w:trPr/>
        <w:tc>
          <w:tcPr>
            <w:tcW w:w="1000" w:type="dxa"/>
          </w:tcPr>
          <w:p>
            <w:pPr>
              <w:jc w:val="center"/>
            </w:pPr>
            <w:r>
              <w:rPr/>
              <w:t xml:space="preserve">5419</w:t>
            </w:r>
          </w:p>
        </w:tc>
        <w:tc>
          <w:tcPr>
            <w:tcW w:w="2000" w:type="dxa"/>
          </w:tcPr>
          <w:p>
            <w:pPr/>
            <w:r>
              <w:rPr/>
              <w:t xml:space="preserve">Pracovníci v oblasti ochrany a ostrahy jinde neuvedení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-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35 368 Kč</w:t>
            </w:r>
          </w:p>
        </w:tc>
      </w:tr>
    </w:tbl>
    <w:p/>
    <w:p>
      <w:pPr>
        <w:pStyle w:val="Heading2"/>
      </w:pPr>
      <w:bookmarkStart w:id="7" w:name="_Toc7"/>
      <w:r>
        <w:t>ESCO</w:t>
      </w:r>
      <w:bookmarkEnd w:id="7"/>
    </w:p>
    <w:tbl>
      <w:tblGrid>
        <w:gridCol w:w="3000" w:type="dxa"/>
        <w:gridCol w:w="3000" w:type="dxa"/>
        <w:gridCol w:w="3000" w:type="dxa"/>
      </w:tblGrid>
      <w:tblPr>
        <w:jc w:val="start"/>
        <w:tblW w:w="0" w:type="auto"/>
        <w:tblCellSpacing w:w="50" w:type="dxa"/>
        <w:tblLayout w:type="autofit"/>
        <w:bidiVisual w:val="0"/>
        <w:tblCellMar>
          <w:top w:w="80" w:type="dxa"/>
          <w:left w:w="80" w:type="dxa"/>
          <w:right w:w="80" w:type="dxa"/>
          <w:bottom w:w="80" w:type="dxa"/>
        </w:tblCellMar>
      </w:tblPr>
      <w:tr>
        <w:trPr/>
        <w:tc>
          <w:tcPr>
            <w:tcW w:w="3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Kód podskupiny</w:t>
            </w:r>
          </w:p>
        </w:tc>
        <w:tc>
          <w:tcPr>
            <w:tcW w:w="3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Název podskupiny v ESCO</w:t>
            </w:r>
          </w:p>
        </w:tc>
        <w:tc>
          <w:tcPr>
            <w:tcW w:w="3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URL - podskupiny v ESCO</w:t>
            </w:r>
          </w:p>
        </w:tc>
      </w:tr>
      <w:tr>
        <w:trPr/>
        <w:tc>
          <w:tcPr>
            <w:tcW w:w="3000" w:type="dxa"/>
          </w:tcPr>
          <w:p>
            <w:pPr/>
            <w:r>
              <w:rPr/>
              <w:t xml:space="preserve">5419</w:t>
            </w:r>
          </w:p>
        </w:tc>
        <w:tc>
          <w:tcPr>
            <w:tcW w:w="3000" w:type="dxa"/>
          </w:tcPr>
          <w:p>
            <w:pPr/>
            <w:r>
              <w:rPr/>
              <w:t xml:space="preserve">Pracovníci v oblasti ochrany a ostrahy jinde neuvedení</w:t>
            </w:r>
          </w:p>
        </w:tc>
        <w:tc>
          <w:tcPr>
            <w:tcW w:w="3000" w:type="dxa"/>
          </w:tcPr>
          <w:p>
            <w:pPr/>
            <w:r>
              <w:rPr/>
              <w:t xml:space="preserve">http://data.europa.eu/esco/isco/C5419</w:t>
            </w:r>
          </w:p>
        </w:tc>
      </w:tr>
    </w:tbl>
    <w:p/>
    <w:p/>
    <w:p/>
    <w:p>
      <w:pPr>
        <w:pStyle w:val="Heading2"/>
      </w:pPr>
      <w:bookmarkStart w:id="8" w:name="_Toc8"/>
      <w:r>
        <w:t>Pracovní podmínky</w:t>
      </w:r>
      <w:bookmarkEnd w:id="8"/>
    </w:p>
    <w:p>
      <w:pPr/>
      <w:r>
        <w:rPr/>
        <w:t xml:space="preserve">Rizikové faktory pracovních podmínek a vyskytující se druhy zátěže upravuje nařízení vlády č. 361/2007 Sb., kterým se stanoví podmínky ochrany zdraví při práci, zákon č. 258/2000 Sb., o ochraně veřejného zdraví a zákon č. 262/2006 Sb., zákoník práce. Vždy vyplývají z pracovních podmínek, které se vztahují ke konkrétnímu zaměstnavateli, tudíž se mohou u různých zaměstnavatelů lišit.</w:t>
      </w:r>
    </w:p>
    <w:p/>
    <w:p>
      <w:pPr/>
      <w:r>
        <w:rPr/>
        <w:t xml:space="preserve">Určení míry výskytu faktorů, které mohou ovlivnit zdraví při práci vychází z druhu práce vykonávané na pracovišti. Faktory se zařazují do čtyř kategorií dle míry zdravotního rizika a jeho vlivu na zdraví. O zařazení prací do třetí nebo čtvrté kategorie rozhoduje příslušný orgán ochrany veřejného zdraví.</w:t>
      </w:r>
    </w:p>
    <w:p/>
    <w:p>
      <w:pPr>
        <w:numPr>
          <w:ilvl w:val="0"/>
          <w:numId w:val="5"/>
        </w:numPr>
      </w:pPr>
      <w:r>
        <w:rPr>
          <w:sz w:val="16"/>
          <w:szCs w:val="16"/>
          <w:i w:val="1"/>
          <w:iCs w:val="1"/>
        </w:rPr>
        <w:t xml:space="preserve">1. Stupeň zátěže (minimální zdravotní riziko) - Faktor se při výkonu práce nevyskytuje nebo je zátěž faktorem minimální, vliv faktoru je ze zdravotního hlediska nevýznamný.</w:t>
      </w:r>
    </w:p>
    <w:p>
      <w:pPr>
        <w:numPr>
          <w:ilvl w:val="0"/>
          <w:numId w:val="5"/>
        </w:numPr>
      </w:pPr>
      <w:r>
        <w:rPr>
          <w:sz w:val="16"/>
          <w:szCs w:val="16"/>
          <w:i w:val="1"/>
          <w:iCs w:val="1"/>
        </w:rPr>
        <w:t xml:space="preserve">2. Stupeň zátěže (únosná míra zdravotního rizika) - Ze zdravotního hlediska je míra zátěže faktorem únosná, nepřekračuje limity stanovené předpisy, vliv faktoru je akceptovatelný pro zdravého člověka.</w:t>
      </w:r>
    </w:p>
    <w:p>
      <w:pPr>
        <w:numPr>
          <w:ilvl w:val="0"/>
          <w:numId w:val="5"/>
        </w:numPr>
      </w:pPr>
      <w:r>
        <w:rPr>
          <w:sz w:val="16"/>
          <w:szCs w:val="16"/>
          <w:i w:val="1"/>
          <w:iCs w:val="1"/>
        </w:rPr>
        <w:t xml:space="preserve">3. Stupeň zátěže (významná míra zdravotního rizika) - Úroveň zátěže překračuje stanovené limitní hodnoty expozice (zátěže), na pracovištích je nutná realizace náhradních technických a organizačních opatření, nelze vyloučit negativní vliv na zdraví pracovníků.</w:t>
      </w:r>
    </w:p>
    <w:p>
      <w:pPr>
        <w:numPr>
          <w:ilvl w:val="0"/>
          <w:numId w:val="5"/>
        </w:numPr>
      </w:pPr>
      <w:r>
        <w:rPr>
          <w:sz w:val="16"/>
          <w:szCs w:val="16"/>
          <w:i w:val="1"/>
          <w:iCs w:val="1"/>
        </w:rPr>
        <w:t xml:space="preserve">4. Stupeň zátěže (vysoká míra zdravotního rizika) - Úroveň zátěže vysoce překračuje stanovené limitní hodnoty expozice, na pracovištích musí být dodržován soubor preventivních opatření, častěji dochází k poškození zdraví.</w:t>
      </w:r>
    </w:p>
    <w:p/>
    <w:p/>
    <w:p>
      <w:pPr>
        <w:pStyle w:val="Heading2"/>
      </w:pPr>
      <w:bookmarkStart w:id="9" w:name="_Toc9"/>
      <w:r>
        <w:t>Kvalifikace k výkonu povolání</w:t>
      </w:r>
      <w:bookmarkEnd w:id="9"/>
    </w:p>
    <w:p>
      <w:pPr>
        <w:pStyle w:val="Heading3"/>
      </w:pPr>
      <w:bookmarkStart w:id="10" w:name="_Toc10"/>
      <w:r>
        <w:t>Školní vzdělání</w:t>
      </w:r>
      <w:bookmarkEnd w:id="10"/>
    </w:p>
    <w:p/>
    <w:p>
      <w:pPr>
        <w:pStyle w:val="Heading4"/>
      </w:pPr>
      <w:bookmarkStart w:id="11" w:name="_Toc11"/>
      <w:r>
        <w:t>Nejvhodnější školní přípravu poskytují obory:</w:t>
      </w:r>
      <w:bookmarkEnd w:id="11"/>
    </w:p>
    <w:tbl>
      <w:tblGrid>
        <w:gridCol w:w="2000" w:type="dxa"/>
        <w:gridCol w:w="5000" w:type="dxa"/>
        <w:gridCol w:w="2000" w:type="dxa"/>
      </w:tblGrid>
      <w:tblPr>
        <w:jc w:val="start"/>
        <w:tblW w:w="0" w:type="auto"/>
        <w:tblCellSpacing w:w="50" w:type="dxa"/>
        <w:tblLayout w:type="autofit"/>
        <w:bidiVisual w:val="0"/>
        <w:tblCellMar>
          <w:top w:w="80" w:type="dxa"/>
          <w:left w:w="80" w:type="dxa"/>
          <w:right w:w="80" w:type="dxa"/>
          <w:bottom w:w="80" w:type="dxa"/>
        </w:tblCellMar>
      </w:tblPr>
      <w:tr>
        <w:trPr/>
        <w:tc>
          <w:tcPr>
            <w:tcW w:w="2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Typ</w:t>
            </w:r>
          </w:p>
        </w:tc>
        <w:tc>
          <w:tcPr>
            <w:tcW w:w="5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Název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Kód</w:t>
            </w:r>
          </w:p>
        </w:tc>
      </w:tr>
    </w:tbl>
    <w:p/>
    <w:p>
      <w:pPr>
        <w:pStyle w:val="Heading4"/>
      </w:pPr>
      <w:bookmarkStart w:id="12" w:name="_Toc12"/>
      <w:r>
        <w:t>Vhodnou školní přípravu poskytují také obory:</w:t>
      </w:r>
      <w:bookmarkEnd w:id="12"/>
    </w:p>
    <w:tbl>
      <w:tblGrid>
        <w:gridCol w:w="2000" w:type="dxa"/>
        <w:gridCol w:w="5000" w:type="dxa"/>
        <w:gridCol w:w="2000" w:type="dxa"/>
      </w:tblGrid>
      <w:tblPr>
        <w:jc w:val="start"/>
        <w:tblW w:w="0" w:type="auto"/>
        <w:tblCellSpacing w:w="50" w:type="dxa"/>
        <w:tblLayout w:type="autofit"/>
        <w:bidiVisual w:val="0"/>
        <w:tblCellMar>
          <w:top w:w="80" w:type="dxa"/>
          <w:left w:w="80" w:type="dxa"/>
          <w:right w:w="80" w:type="dxa"/>
          <w:bottom w:w="80" w:type="dxa"/>
        </w:tblCellMar>
      </w:tblPr>
      <w:tr>
        <w:trPr/>
        <w:tc>
          <w:tcPr>
            <w:tcW w:w="2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Typ</w:t>
            </w:r>
          </w:p>
        </w:tc>
        <w:tc>
          <w:tcPr>
            <w:tcW w:w="5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Název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Kód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KKOV</w:t>
            </w:r>
          </w:p>
        </w:tc>
        <w:tc>
          <w:tcPr>
            <w:tcW w:w="5000" w:type="dxa"/>
          </w:tcPr>
          <w:p>
            <w:pPr/>
            <w:r>
              <w:rPr/>
              <w:t xml:space="preserve">Střední vzdělání s maturitní zkouškou (bez vyučení)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xxxxM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KKOV</w:t>
            </w:r>
          </w:p>
        </w:tc>
        <w:tc>
          <w:tcPr>
            <w:tcW w:w="5000" w:type="dxa"/>
          </w:tcPr>
          <w:p>
            <w:pPr/>
            <w:r>
              <w:rPr/>
              <w:t xml:space="preserve">Střední vzdělání s maturitní zkouškou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xxxxK</w:t>
            </w:r>
          </w:p>
        </w:tc>
      </w:tr>
    </w:tbl>
    <w:p/>
    <w:p>
      <w:pPr>
        <w:pStyle w:val="Heading3"/>
      </w:pPr>
      <w:bookmarkStart w:id="13" w:name="_Toc13"/>
      <w:r>
        <w:t>Další vzdělání</w:t>
      </w:r>
      <w:bookmarkEnd w:id="13"/>
    </w:p>
    <w:p>
      <w:pPr>
        <w:pStyle w:val="Heading4"/>
      </w:pPr>
      <w:bookmarkStart w:id="14" w:name="_Toc14"/>
      <w:r>
        <w:t>Profesní kvalifikace</w:t>
      </w:r>
      <w:bookmarkEnd w:id="14"/>
    </w:p>
    <w:p>
      <w:pPr>
        <w:numPr>
          <w:ilvl w:val="0"/>
          <w:numId w:val="5"/>
        </w:numPr>
      </w:pPr>
      <w:r>
        <w:rPr/>
        <w:t xml:space="preserve">Záchranář/záchranářka pro lyžařské tratě (65-025-M)</w:t>
      </w:r>
    </w:p>
    <w:p/>
    <w:p/>
    <w:p>
      <w:pPr>
        <w:pStyle w:val="Heading2"/>
      </w:pPr>
      <w:bookmarkStart w:id="15" w:name="_Toc15"/>
      <w:r>
        <w:t>Kompetenční požadavky</w:t>
      </w:r>
      <w:bookmarkEnd w:id="15"/>
    </w:p>
    <w:p>
      <w:pPr>
        <w:pStyle w:val="Heading3"/>
      </w:pPr>
      <w:bookmarkStart w:id="16" w:name="_Toc16"/>
      <w:r>
        <w:t>Odborné dovednosti</w:t>
      </w:r>
      <w:bookmarkEnd w:id="16"/>
    </w:p>
    <w:tbl>
      <w:tblGrid>
        <w:gridCol w:w="2000" w:type="dxa"/>
        <w:gridCol w:w="3000" w:type="dxa"/>
        <w:gridCol w:w="2000" w:type="dxa"/>
        <w:gridCol w:w="2000" w:type="dxa"/>
      </w:tblGrid>
      <w:tblPr>
        <w:jc w:val="start"/>
        <w:tblW w:w="0" w:type="auto"/>
        <w:tblCellSpacing w:w="50" w:type="dxa"/>
        <w:tblLayout w:type="autofit"/>
        <w:bidiVisual w:val="0"/>
        <w:tblCellMar>
          <w:top w:w="80" w:type="dxa"/>
          <w:left w:w="80" w:type="dxa"/>
          <w:right w:w="80" w:type="dxa"/>
          <w:bottom w:w="80" w:type="dxa"/>
        </w:tblCellMar>
      </w:tblPr>
      <w:tr>
        <w:trPr/>
        <w:tc>
          <w:tcPr>
            <w:tcW w:w="2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Kód</w:t>
            </w:r>
          </w:p>
        </w:tc>
        <w:tc>
          <w:tcPr>
            <w:tcW w:w="3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Název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Úroveň 1-8</w:t>
            </w:r>
          </w:p>
        </w:tc>
        <w:tc>
          <w:tcPr>
            <w:tcW w:w="2000" w:type="dxa"/>
          </w:tcPr>
          <w:p>
            <w:pPr/>
            <w:r>
              <w:rPr>
                <w:b w:val="1"/>
                <w:bCs w:val="1"/>
              </w:rPr>
              <w:t xml:space="preserve">Vhodnost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l23.Z.1702</w:t>
            </w:r>
          </w:p>
        </w:tc>
        <w:tc>
          <w:tcPr>
            <w:tcW w:w="3000" w:type="dxa"/>
          </w:tcPr>
          <w:p>
            <w:pPr/>
            <w:r>
              <w:rPr/>
              <w:t xml:space="preserve">Organizování záchranných prací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Nutné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l23.E.1703</w:t>
            </w:r>
          </w:p>
        </w:tc>
        <w:tc>
          <w:tcPr>
            <w:tcW w:w="3000" w:type="dxa"/>
          </w:tcPr>
          <w:p>
            <w:pPr/>
            <w:r>
              <w:rPr/>
              <w:t xml:space="preserve">Provádění záchranných prací v zimním období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Nutné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l23.E.1704</w:t>
            </w:r>
          </w:p>
        </w:tc>
        <w:tc>
          <w:tcPr>
            <w:tcW w:w="3000" w:type="dxa"/>
          </w:tcPr>
          <w:p>
            <w:pPr/>
            <w:r>
              <w:rPr/>
              <w:t xml:space="preserve">Poskytování zdravotní pomoci v zimním období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Nutné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m31.E.4011</w:t>
            </w:r>
          </w:p>
        </w:tc>
        <w:tc>
          <w:tcPr>
            <w:tcW w:w="3000" w:type="dxa"/>
          </w:tcPr>
          <w:p>
            <w:pPr/>
            <w:r>
              <w:rPr/>
              <w:t xml:space="preserve">Lyžování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Nutné</w:t>
            </w:r>
          </w:p>
        </w:tc>
      </w:tr>
    </w:tbl>
    <w:p>
      <w:pPr/>
      <w:r>
        <w:rPr>
          <w:sz w:val="16"/>
          <w:szCs w:val="16"/>
          <w:i w:val="1"/>
          <w:iCs w:val="1"/>
        </w:rPr>
        <w:t xml:space="preserve">Popisy úrovní naleznete zde: https://nsp.cz/downloads/Priloha_c2_manualu.pdf</w:t>
      </w:r>
    </w:p>
    <w:p/>
    <w:p>
      <w:pPr>
        <w:pStyle w:val="Heading3"/>
      </w:pPr>
      <w:bookmarkStart w:id="17" w:name="_Toc17"/>
      <w:r>
        <w:t>Odborné znalosti</w:t>
      </w:r>
      <w:bookmarkEnd w:id="17"/>
    </w:p>
    <w:tbl>
      <w:tblGrid>
        <w:gridCol w:w="2000" w:type="dxa"/>
        <w:gridCol w:w="3000" w:type="dxa"/>
        <w:gridCol w:w="2000" w:type="dxa"/>
        <w:gridCol w:w="2000" w:type="dxa"/>
      </w:tblGrid>
      <w:tblPr>
        <w:jc w:val="start"/>
        <w:tblW w:w="0" w:type="auto"/>
        <w:tblCellSpacing w:w="50" w:type="dxa"/>
        <w:tblLayout w:type="autofit"/>
        <w:bidiVisual w:val="0"/>
        <w:tblCellMar>
          <w:top w:w="80" w:type="dxa"/>
          <w:left w:w="80" w:type="dxa"/>
          <w:right w:w="80" w:type="dxa"/>
          <w:bottom w:w="80" w:type="dxa"/>
        </w:tblCellMar>
      </w:tblPr>
      <w:tr>
        <w:trPr/>
        <w:tc>
          <w:tcPr>
            <w:tcW w:w="2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Kód</w:t>
            </w:r>
          </w:p>
        </w:tc>
        <w:tc>
          <w:tcPr>
            <w:tcW w:w="3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Název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Úroveň 1-8</w:t>
            </w:r>
          </w:p>
        </w:tc>
        <w:tc>
          <w:tcPr>
            <w:tcW w:w="2000" w:type="dxa"/>
          </w:tcPr>
          <w:p>
            <w:pPr/>
            <w:r>
              <w:rPr>
                <w:b w:val="1"/>
                <w:bCs w:val="1"/>
              </w:rPr>
              <w:t xml:space="preserve">Vhodnost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l23._.0081</w:t>
            </w:r>
          </w:p>
        </w:tc>
        <w:tc>
          <w:tcPr>
            <w:tcW w:w="3000" w:type="dxa"/>
          </w:tcPr>
          <w:p>
            <w:pPr/>
            <w:r>
              <w:rPr/>
              <w:t xml:space="preserve">záchranářství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Nutné</w:t>
            </w:r>
          </w:p>
        </w:tc>
      </w:tr>
    </w:tbl>
    <w:p>
      <w:pPr/>
      <w:r>
        <w:rPr>
          <w:sz w:val="16"/>
          <w:szCs w:val="16"/>
          <w:i w:val="1"/>
          <w:iCs w:val="1"/>
        </w:rPr>
        <w:t xml:space="preserve">Popisy úrovní naleznete zde: https://nsp.cz/downloads/Priloha_c2_manualu.pdf</w:t>
      </w:r>
    </w:p>
    <w:p/>
    <w:p>
      <w:pPr>
        <w:pStyle w:val="Heading3"/>
      </w:pPr>
      <w:bookmarkStart w:id="18" w:name="_Toc18"/>
      <w:r>
        <w:t>Digitální kompetence</w:t>
      </w:r>
      <w:bookmarkEnd w:id="18"/>
    </w:p>
    <w:tbl>
      <w:tblGrid>
        <w:gridCol w:w="2000" w:type="dxa"/>
        <w:gridCol w:w="5000" w:type="dxa"/>
        <w:gridCol w:w="2000" w:type="dxa"/>
      </w:tblGrid>
      <w:tblPr>
        <w:jc w:val="start"/>
        <w:tblW w:w="0" w:type="auto"/>
        <w:tblCellSpacing w:w="50" w:type="dxa"/>
        <w:tblLayout w:type="autofit"/>
        <w:bidiVisual w:val="0"/>
        <w:tblCellMar>
          <w:top w:w="80" w:type="dxa"/>
          <w:left w:w="80" w:type="dxa"/>
          <w:right w:w="80" w:type="dxa"/>
          <w:bottom w:w="80" w:type="dxa"/>
        </w:tblCellMar>
      </w:tblPr>
      <w:tr>
        <w:trPr/>
        <w:tc>
          <w:tcPr>
            <w:tcW w:w="2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Kód</w:t>
            </w:r>
          </w:p>
        </w:tc>
        <w:tc>
          <w:tcPr>
            <w:tcW w:w="5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Název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Úroveň 1-4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1.1</w:t>
            </w:r>
          </w:p>
        </w:tc>
        <w:tc>
          <w:tcPr>
            <w:tcW w:w="5000" w:type="dxa"/>
          </w:tcPr>
          <w:p>
            <w:pPr/>
            <w:r>
              <w:rPr/>
              <w:t xml:space="preserve">Prohlížení, vyhledávání a filtrování dat, informací a digitálního obsahu  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1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5.2</w:t>
            </w:r>
          </w:p>
        </w:tc>
        <w:tc>
          <w:tcPr>
            <w:tcW w:w="5000" w:type="dxa"/>
          </w:tcPr>
          <w:p>
            <w:pPr/>
            <w:r>
              <w:rPr/>
              <w:t xml:space="preserve">Identifikace potřeb a výběr vhodných technologií  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1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5.1</w:t>
            </w:r>
          </w:p>
        </w:tc>
        <w:tc>
          <w:tcPr>
            <w:tcW w:w="5000" w:type="dxa"/>
          </w:tcPr>
          <w:p>
            <w:pPr/>
            <w:r>
              <w:rPr/>
              <w:t xml:space="preserve">Řešení technických problémů  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1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4.2</w:t>
            </w:r>
          </w:p>
        </w:tc>
        <w:tc>
          <w:tcPr>
            <w:tcW w:w="5000" w:type="dxa"/>
          </w:tcPr>
          <w:p>
            <w:pPr/>
            <w:r>
              <w:rPr/>
              <w:t xml:space="preserve">Ochrana osobních dat a soukromí  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1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4.1</w:t>
            </w:r>
          </w:p>
        </w:tc>
        <w:tc>
          <w:tcPr>
            <w:tcW w:w="5000" w:type="dxa"/>
          </w:tcPr>
          <w:p>
            <w:pPr/>
            <w:r>
              <w:rPr/>
              <w:t xml:space="preserve">Ochrana zařízení  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1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3.3</w:t>
            </w:r>
          </w:p>
        </w:tc>
        <w:tc>
          <w:tcPr>
            <w:tcW w:w="5000" w:type="dxa"/>
          </w:tcPr>
          <w:p>
            <w:pPr/>
            <w:r>
              <w:rPr/>
              <w:t xml:space="preserve">Autorská práva a licence  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1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3.1</w:t>
            </w:r>
          </w:p>
        </w:tc>
        <w:tc>
          <w:tcPr>
            <w:tcW w:w="5000" w:type="dxa"/>
          </w:tcPr>
          <w:p>
            <w:pPr/>
            <w:r>
              <w:rPr/>
              <w:t xml:space="preserve">Tvorba digitálního obsahu  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1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2.5</w:t>
            </w:r>
          </w:p>
        </w:tc>
        <w:tc>
          <w:tcPr>
            <w:tcW w:w="5000" w:type="dxa"/>
          </w:tcPr>
          <w:p>
            <w:pPr/>
            <w:r>
              <w:rPr/>
              <w:t xml:space="preserve">Netiketa  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1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2.4</w:t>
            </w:r>
          </w:p>
        </w:tc>
        <w:tc>
          <w:tcPr>
            <w:tcW w:w="5000" w:type="dxa"/>
          </w:tcPr>
          <w:p>
            <w:pPr/>
            <w:r>
              <w:rPr/>
              <w:t xml:space="preserve">Spolupráce prostřednictvím digitálních technologií  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1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2.2</w:t>
            </w:r>
          </w:p>
        </w:tc>
        <w:tc>
          <w:tcPr>
            <w:tcW w:w="5000" w:type="dxa"/>
          </w:tcPr>
          <w:p>
            <w:pPr/>
            <w:r>
              <w:rPr/>
              <w:t xml:space="preserve">Sdílení prostřednictvím digitálních technologií  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1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2.1</w:t>
            </w:r>
          </w:p>
        </w:tc>
        <w:tc>
          <w:tcPr>
            <w:tcW w:w="5000" w:type="dxa"/>
          </w:tcPr>
          <w:p>
            <w:pPr/>
            <w:r>
              <w:rPr/>
              <w:t xml:space="preserve">Interakce prostřednictvím digitálních technologií  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1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1.3</w:t>
            </w:r>
          </w:p>
        </w:tc>
        <w:tc>
          <w:tcPr>
            <w:tcW w:w="5000" w:type="dxa"/>
          </w:tcPr>
          <w:p>
            <w:pPr/>
            <w:r>
              <w:rPr/>
              <w:t xml:space="preserve">Správa dat, informací a digitálního obsahu  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1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1.2</w:t>
            </w:r>
          </w:p>
        </w:tc>
        <w:tc>
          <w:tcPr>
            <w:tcW w:w="5000" w:type="dxa"/>
          </w:tcPr>
          <w:p>
            <w:pPr/>
            <w:r>
              <w:rPr/>
              <w:t xml:space="preserve">Hodnocení dat, informací a digitálního obsahu  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1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5.4</w:t>
            </w:r>
          </w:p>
        </w:tc>
        <w:tc>
          <w:tcPr>
            <w:tcW w:w="5000" w:type="dxa"/>
          </w:tcPr>
          <w:p>
            <w:pPr/>
            <w:r>
              <w:rPr/>
              <w:t xml:space="preserve">Identifikace nedostatků v digitálních kompetencích  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1</w:t>
            </w:r>
          </w:p>
        </w:tc>
      </w:tr>
    </w:tbl>
    <w:p>
      <w:pPr/>
      <w:r>
        <w:rPr>
          <w:sz w:val="16"/>
          <w:szCs w:val="16"/>
          <w:i w:val="1"/>
          <w:iCs w:val="1"/>
        </w:rPr>
        <w:t xml:space="preserve">Popisy úrovní naleznete zde: https://nsp.cz/downloads/Priloha_c15_manualu.pdf</w:t>
      </w:r>
    </w:p>
    <w:p/>
    <w:p>
      <w:pPr>
        <w:pStyle w:val="Heading3"/>
      </w:pPr>
      <w:bookmarkStart w:id="19" w:name="_Toc19"/>
      <w:r>
        <w:t>Měkké kompetence</w:t>
      </w:r>
      <w:bookmarkEnd w:id="19"/>
    </w:p>
    <w:tbl>
      <w:tblGrid>
        <w:gridCol w:w="2000" w:type="dxa"/>
        <w:gridCol w:w="5000" w:type="dxa"/>
        <w:gridCol w:w="2000" w:type="dxa"/>
      </w:tblGrid>
      <w:tblPr>
        <w:jc w:val="start"/>
        <w:tblW w:w="0" w:type="auto"/>
        <w:tblCellSpacing w:w="50" w:type="dxa"/>
        <w:tblLayout w:type="autofit"/>
        <w:bidiVisual w:val="0"/>
        <w:tblCellMar>
          <w:top w:w="80" w:type="dxa"/>
          <w:left w:w="80" w:type="dxa"/>
          <w:right w:w="80" w:type="dxa"/>
          <w:bottom w:w="80" w:type="dxa"/>
        </w:tblCellMar>
      </w:tblPr>
      <w:tr>
        <w:trPr/>
        <w:tc>
          <w:tcPr>
            <w:tcW w:w="2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Kód</w:t>
            </w:r>
          </w:p>
        </w:tc>
        <w:tc>
          <w:tcPr>
            <w:tcW w:w="5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Název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Úroveň 0-5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2.1</w:t>
            </w:r>
          </w:p>
        </w:tc>
        <w:tc>
          <w:tcPr>
            <w:tcW w:w="5000" w:type="dxa"/>
          </w:tcPr>
          <w:p>
            <w:pPr/>
            <w:r>
              <w:rPr/>
              <w:t xml:space="preserve">Kompetence k efektivní komunikaci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4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2.6</w:t>
            </w:r>
          </w:p>
        </w:tc>
        <w:tc>
          <w:tcPr>
            <w:tcW w:w="5000" w:type="dxa"/>
          </w:tcPr>
          <w:p>
            <w:pPr/>
            <w:r>
              <w:rPr/>
              <w:t xml:space="preserve">Kompetence k vedení lidí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0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3.3</w:t>
            </w:r>
          </w:p>
        </w:tc>
        <w:tc>
          <w:tcPr>
            <w:tcW w:w="5000" w:type="dxa"/>
          </w:tcPr>
          <w:p>
            <w:pPr/>
            <w:r>
              <w:rPr/>
              <w:t xml:space="preserve">Kompetence k objevování a orientaci v informacích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3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1.4</w:t>
            </w:r>
          </w:p>
        </w:tc>
        <w:tc>
          <w:tcPr>
            <w:tcW w:w="5000" w:type="dxa"/>
          </w:tcPr>
          <w:p>
            <w:pPr/>
            <w:r>
              <w:rPr/>
              <w:t xml:space="preserve">Kompetence ke zvládání stresu a zátěže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5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4.1</w:t>
            </w:r>
          </w:p>
        </w:tc>
        <w:tc>
          <w:tcPr>
            <w:tcW w:w="5000" w:type="dxa"/>
          </w:tcPr>
          <w:p>
            <w:pPr/>
            <w:r>
              <w:rPr/>
              <w:t xml:space="preserve">Kompetence k aktivnímu přístupu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4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1.1</w:t>
            </w:r>
          </w:p>
        </w:tc>
        <w:tc>
          <w:tcPr>
            <w:tcW w:w="5000" w:type="dxa"/>
          </w:tcPr>
          <w:p>
            <w:pPr/>
            <w:r>
              <w:rPr/>
              <w:t xml:space="preserve">Kompetence k celoživotnímu vzdělávání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3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4.2</w:t>
            </w:r>
          </w:p>
        </w:tc>
        <w:tc>
          <w:tcPr>
            <w:tcW w:w="5000" w:type="dxa"/>
          </w:tcPr>
          <w:p>
            <w:pPr/>
            <w:r>
              <w:rPr/>
              <w:t xml:space="preserve">Kompetence k plánování a organizování práce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3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4.4</w:t>
            </w:r>
          </w:p>
        </w:tc>
        <w:tc>
          <w:tcPr>
            <w:tcW w:w="5000" w:type="dxa"/>
          </w:tcPr>
          <w:p>
            <w:pPr/>
            <w:r>
              <w:rPr/>
              <w:t xml:space="preserve">Kompetence k řešení problémů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4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4.5</w:t>
            </w:r>
          </w:p>
        </w:tc>
        <w:tc>
          <w:tcPr>
            <w:tcW w:w="5000" w:type="dxa"/>
          </w:tcPr>
          <w:p>
            <w:pPr/>
            <w:r>
              <w:rPr/>
              <w:t xml:space="preserve">Kompetence k samostatnosti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4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4.6</w:t>
            </w:r>
          </w:p>
        </w:tc>
        <w:tc>
          <w:tcPr>
            <w:tcW w:w="5000" w:type="dxa"/>
          </w:tcPr>
          <w:p>
            <w:pPr/>
            <w:r>
              <w:rPr/>
              <w:t xml:space="preserve">Kompetence k výkonnosti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4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2.3</w:t>
            </w:r>
          </w:p>
        </w:tc>
        <w:tc>
          <w:tcPr>
            <w:tcW w:w="5000" w:type="dxa"/>
          </w:tcPr>
          <w:p>
            <w:pPr/>
            <w:r>
              <w:rPr/>
              <w:t xml:space="preserve">Kompetence k orientaci na zákazníka a uspokojování zákaznických potřeb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3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1.2</w:t>
            </w:r>
          </w:p>
        </w:tc>
        <w:tc>
          <w:tcPr>
            <w:tcW w:w="5000" w:type="dxa"/>
          </w:tcPr>
          <w:p>
            <w:pPr/>
            <w:r>
              <w:rPr/>
              <w:t xml:space="preserve">Kompetence k flexibilitě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4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1.3</w:t>
            </w:r>
          </w:p>
        </w:tc>
        <w:tc>
          <w:tcPr>
            <w:tcW w:w="5000" w:type="dxa"/>
          </w:tcPr>
          <w:p>
            <w:pPr/>
            <w:r>
              <w:rPr/>
              <w:t xml:space="preserve">Kompetence ke kreativitě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3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2.2</w:t>
            </w:r>
          </w:p>
        </w:tc>
        <w:tc>
          <w:tcPr>
            <w:tcW w:w="5000" w:type="dxa"/>
          </w:tcPr>
          <w:p>
            <w:pPr/>
            <w:r>
              <w:rPr/>
              <w:t xml:space="preserve">Kompetence ke kooperaci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4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2.4</w:t>
            </w:r>
          </w:p>
        </w:tc>
        <w:tc>
          <w:tcPr>
            <w:tcW w:w="5000" w:type="dxa"/>
          </w:tcPr>
          <w:p>
            <w:pPr/>
            <w:r>
              <w:rPr/>
              <w:t xml:space="preserve">Kompetence k ovlivňování a rozvíjení ostatních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3</w:t>
            </w:r>
          </w:p>
        </w:tc>
      </w:tr>
    </w:tbl>
    <w:p>
      <w:pPr/>
      <w:r>
        <w:rPr>
          <w:sz w:val="16"/>
          <w:szCs w:val="16"/>
          <w:i w:val="1"/>
          <w:iCs w:val="1"/>
        </w:rPr>
        <w:t xml:space="preserve">Popisy úrovní naleznete zde: https://nsp.cz/downloads/Priloha_c9_manualu.pdf</w:t>
      </w:r>
    </w:p>
    <w:p/>
    <w:p>
      <w:pPr>
        <w:pStyle w:val="Heading2"/>
      </w:pPr>
      <w:bookmarkStart w:id="20" w:name="_Toc20"/>
      <w:r>
        <w:t>Zdravotní podmínky</w:t>
      </w:r>
      <w:bookmarkEnd w:id="20"/>
    </w:p>
    <w:p>
      <w:pPr>
        <w:pStyle w:val="Heading3"/>
      </w:pPr>
      <w:bookmarkStart w:id="21" w:name="_Toc21"/>
      <w:r>
        <w:t>Onemocnění omezující výkon povolání / specializace povolání.</w:t>
      </w:r>
      <w:bookmarkEnd w:id="21"/>
    </w:p>
    <w:p>
      <w:pPr>
        <w:numPr>
          <w:ilvl w:val="0"/>
          <w:numId w:val="5"/>
        </w:numPr>
      </w:pPr>
      <w:r>
        <w:rPr/>
        <w:t xml:space="preserve">Onemocnění oběhové soustavy</w:t>
      </w:r>
    </w:p>
    <w:p>
      <w:pPr>
        <w:numPr>
          <w:ilvl w:val="0"/>
          <w:numId w:val="5"/>
        </w:numPr>
      </w:pPr>
      <w:r>
        <w:rPr/>
        <w:t xml:space="preserve">Závažná onemocnění dýchacích cest a plic</w:t>
      </w:r>
    </w:p>
    <w:p>
      <w:pPr>
        <w:numPr>
          <w:ilvl w:val="0"/>
          <w:numId w:val="5"/>
        </w:numPr>
      </w:pPr>
      <w:r>
        <w:rPr/>
        <w:t xml:space="preserve">Závažná onemocnění ledvin, močových cest</w:t>
      </w:r>
    </w:p>
    <w:p>
      <w:pPr>
        <w:numPr>
          <w:ilvl w:val="0"/>
          <w:numId w:val="5"/>
        </w:numPr>
      </w:pPr>
      <w:r>
        <w:rPr/>
        <w:t xml:space="preserve">Závažná degenerativní a zánětlivá onemocnění pohybového systému</w:t>
      </w:r>
    </w:p>
    <w:p>
      <w:pPr>
        <w:numPr>
          <w:ilvl w:val="0"/>
          <w:numId w:val="5"/>
        </w:numPr>
      </w:pPr>
      <w:r>
        <w:rPr/>
        <w:t xml:space="preserve">Chronická onemocnění jater</w:t>
      </w:r>
    </w:p>
    <w:p>
      <w:pPr>
        <w:numPr>
          <w:ilvl w:val="0"/>
          <w:numId w:val="5"/>
        </w:numPr>
      </w:pPr>
      <w:r>
        <w:rPr/>
        <w:t xml:space="preserve">Závažné poruchy krvetvorby a krvácivé stavy</w:t>
      </w:r>
    </w:p>
    <w:p>
      <w:pPr>
        <w:numPr>
          <w:ilvl w:val="0"/>
          <w:numId w:val="5"/>
        </w:numPr>
      </w:pPr>
      <w:r>
        <w:rPr/>
        <w:t xml:space="preserve">Závrať jakékoliv etiologie</w:t>
      </w:r>
    </w:p>
    <w:p>
      <w:pPr>
        <w:numPr>
          <w:ilvl w:val="0"/>
          <w:numId w:val="5"/>
        </w:numPr>
      </w:pPr>
      <w:r>
        <w:rPr/>
        <w:t xml:space="preserve">Duševní poruchy a poruchy chování</w:t>
      </w:r>
    </w:p>
    <w:p>
      <w:pPr>
        <w:numPr>
          <w:ilvl w:val="0"/>
          <w:numId w:val="5"/>
        </w:numPr>
      </w:pPr>
      <w:r>
        <w:rPr/>
        <w:t xml:space="preserve">Závažná nervová onemocnění a psychosomatická onemocnění</w:t>
      </w:r>
    </w:p>
    <w:p>
      <w:pPr>
        <w:numPr>
          <w:ilvl w:val="0"/>
          <w:numId w:val="5"/>
        </w:numPr>
      </w:pPr>
      <w:r>
        <w:rPr/>
        <w:t xml:space="preserve">Závažné stavy po úrazech či operacích pohybového systému</w:t>
      </w:r>
    </w:p>
    <w:p>
      <w:pPr>
        <w:pStyle w:val="Heading3"/>
      </w:pPr>
      <w:bookmarkStart w:id="22" w:name="_Toc22"/>
      <w:r>
        <w:t>Onemocnění vylučující výkon povolání / specializace povolání.e</w:t>
      </w:r>
      <w:bookmarkEnd w:id="22"/>
    </w:p>
    <w:p>
      <w:pPr>
        <w:numPr>
          <w:ilvl w:val="0"/>
          <w:numId w:val="5"/>
        </w:numPr>
      </w:pPr>
      <w:r>
        <w:rPr/>
        <w:t xml:space="preserve">Záchvatovité a kolapsové stavy</w:t>
      </w:r>
    </w:p>
    <w:p>
      <w:pPr/>
      <w:r>
        <w:rPr>
          <w:sz w:val="16"/>
          <w:szCs w:val="16"/>
          <w:i w:val="1"/>
          <w:iCs w:val="1"/>
        </w:rPr>
        <w:t xml:space="preserve">Přesné posouzení zdravotního stavu s následným doporučením nebo nedoporučením výkonu této pozice je možné pouze po konzultaci s lékařem.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5">
    <w:nsid w:val="EC4842B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5">
    <w:abstractNumId w:val="5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spacing w:after="120"/>
    </w:pPr>
    <w:rPr>
      <w:sz w:val="40"/>
      <w:szCs w:val="40"/>
      <w:b w:val="1"/>
      <w:bCs w:val="1"/>
    </w:rPr>
  </w:style>
  <w:style w:type="paragraph" w:styleId="Heading2">
    <w:link w:val="Heading2Char"/>
    <w:name w:val="heading 2"/>
    <w:basedOn w:val="Normal"/>
    <w:pPr>
      <w:spacing w:after="80"/>
    </w:pPr>
    <w:rPr>
      <w:sz w:val="28"/>
      <w:szCs w:val="28"/>
      <w:b w:val="1"/>
      <w:bCs w:val="1"/>
    </w:rPr>
  </w:style>
  <w:style w:type="paragraph" w:styleId="Heading3">
    <w:link w:val="Heading3Char"/>
    <w:name w:val="heading 3"/>
    <w:basedOn w:val="Normal"/>
    <w:pPr>
      <w:spacing w:after="60"/>
    </w:pPr>
    <w:rPr>
      <w:sz w:val="24"/>
      <w:szCs w:val="24"/>
      <w:b w:val="1"/>
      <w:bCs w:val="1"/>
    </w:rPr>
  </w:style>
  <w:style w:type="paragraph" w:styleId="Heading4">
    <w:link w:val="Heading4Char"/>
    <w:name w:val="heading 4"/>
    <w:basedOn w:val="Normal"/>
    <w:pPr>
      <w:spacing w:after="60"/>
    </w:pPr>
    <w:rPr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FDV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NSP.CZ</dc:creator>
  <dc:title>Záchranář pro lyžařské tratě</dc:title>
  <dc:description>Záchranář pro lyžařské tratě zajišťuje záchranné činnosti, transport zraněných v rámci lyžařského areálu a poskytuje první pomoc.</dc:description>
  <dc:subject/>
  <cp:keywords/>
  <cp:category>Povolání</cp:category>
  <cp:lastModifiedBy/>
  <dcterms:created xsi:type="dcterms:W3CDTF">2017-11-22T09:37:40+01:00</dcterms:created>
  <dcterms:modified xsi:type="dcterms:W3CDTF">2017-11-22T09:55:29+01:00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