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vozidel</w:t>
      </w:r>
      <w:bookmarkEnd w:id="1"/>
    </w:p>
    <w:p>
      <w:pPr/>
      <w:r>
        <w:rPr/>
        <w:t xml:space="preserve">Likvidátor škod z pojištění vozidel eviduje škodní události související s provozem vozidla, analyzuje, hodnotí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ČR a ostatními orgány činnými v trestním řízení a správními orgány (např. autoservisy a jinými opravárenskými zařízeními, soudy, zahraniční policií, zdravotními pojišťovnami, Českou kanceláří pojistitelů, asistenčními službami).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D98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vozidel</dc:title>
  <dc:description>Likvidátor škod z pojištění vozidel eviduje škodní události související s provozem vozidla, analyzuje, hodnotí a stanovuje výši pojistného plnění.</dc:description>
  <dc:subject/>
  <cp:keywords/>
  <cp:category>Povolání</cp:category>
  <cp:lastModifiedBy/>
  <dcterms:created xsi:type="dcterms:W3CDTF">2017-11-22T09:07:28+01:00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