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 pro kompozitní materiály</w:t>
      </w:r>
      <w:bookmarkEnd w:id="1"/>
    </w:p>
    <w:p>
      <w:pPr/>
      <w:r>
        <w:rPr/>
        <w:t xml:space="preserve">Chemický technik pro kompozitní materiály řídí a kontroluje jednoduché nebo dílčí technologické operace podle standardních postupů pro výrobu kompozitu.</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výroba chemických produktů</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Chemický technolog</w:t>
            </w:r>
          </w:p>
        </w:tc>
      </w:tr>
      <w:tr>
        <w:trPr/>
        <w:tc>
          <w:tcPr/>
          <w:p>
            <w:pPr/>
            <w:r>
              <w:rPr>
                <w:b w:val="1"/>
                <w:bCs w:val="1"/>
              </w:rPr>
              <w:t xml:space="preserve">Nadřízené povolání:</w:t>
            </w:r>
          </w:p>
        </w:tc>
        <w:tc>
          <w:tcPr/>
          <w:p>
            <w:pPr/>
            <w:r>
              <w:rPr/>
              <w:t xml:space="preserve">Chemický technik</w:t>
            </w:r>
          </w:p>
        </w:tc>
      </w:tr>
      <w:tr>
        <w:trPr/>
        <w:tc>
          <w:tcPr/>
          <w:p>
            <w:pPr/>
            <w:r>
              <w:rPr>
                <w:b w:val="1"/>
                <w:bCs w:val="1"/>
              </w:rPr>
              <w:t xml:space="preserve">Příbuzné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Stanovení pracovních postupů prostředků a metod kompozitních materiálů.</w:t>
      </w:r>
    </w:p>
    <w:p>
      <w:pPr>
        <w:numPr>
          <w:ilvl w:val="0"/>
          <w:numId w:val="5"/>
        </w:numPr>
      </w:pPr>
      <w:r>
        <w:rPr/>
        <w:t xml:space="preserve">Stanovení jednoduchých nebo opakovaných technologických postupů chemického procesu.</w:t>
      </w:r>
    </w:p>
    <w:p>
      <w:pPr>
        <w:numPr>
          <w:ilvl w:val="0"/>
          <w:numId w:val="5"/>
        </w:numPr>
      </w:pPr>
      <w:r>
        <w:rPr/>
        <w:t xml:space="preserve">Volba technologických podmínek a parametrů pro obsluhu a řízení technologických procesů výroby kompozitních materiálů.</w:t>
      </w:r>
    </w:p>
    <w:p>
      <w:pPr>
        <w:numPr>
          <w:ilvl w:val="0"/>
          <w:numId w:val="5"/>
        </w:numPr>
      </w:pPr>
      <w:r>
        <w:rPr/>
        <w:t xml:space="preserve">Určování parametrů technologického režimu s ohledem na použité suroviny.</w:t>
      </w:r>
    </w:p>
    <w:p>
      <w:pPr>
        <w:numPr>
          <w:ilvl w:val="0"/>
          <w:numId w:val="5"/>
        </w:numPr>
      </w:pPr>
      <w:r>
        <w:rPr/>
        <w:t xml:space="preserve">Posuzování hodnot a parametrů při obsluze a řízení technologických procesů výroby kompozitních materiálů.</w:t>
      </w:r>
    </w:p>
    <w:p>
      <w:pPr>
        <w:numPr>
          <w:ilvl w:val="0"/>
          <w:numId w:val="5"/>
        </w:numPr>
      </w:pPr>
      <w:r>
        <w:rPr/>
        <w:t xml:space="preserve">Samostatné provedení výstupní kontroly a vyhodnocení závad.</w:t>
      </w:r>
    </w:p>
    <w:p>
      <w:pPr>
        <w:numPr>
          <w:ilvl w:val="0"/>
          <w:numId w:val="5"/>
        </w:numPr>
      </w:pPr>
      <w:r>
        <w:rPr/>
        <w:t xml:space="preserve"/>
      </w:r>
    </w:p>
    <w:p/>
    <w:p>
      <w:pPr>
        <w:pStyle w:val="Heading2"/>
      </w:pPr>
      <w:bookmarkStart w:id="3" w:name="_Toc3"/>
      <w:r>
        <w:t>CZ-ISCO</w:t>
      </w:r>
      <w:bookmarkEnd w:id="3"/>
    </w:p>
    <w:p>
      <w:pPr>
        <w:numPr>
          <w:ilvl w:val="0"/>
          <w:numId w:val="5"/>
        </w:numPr>
      </w:pPr>
      <w:r>
        <w:rPr/>
        <w:t xml:space="preserve">Technici v oblasti chemie (kromě chemického inženýrství)</w:t>
      </w:r>
    </w:p>
    <w:p>
      <w:pPr>
        <w:numPr>
          <w:ilvl w:val="0"/>
          <w:numId w:val="5"/>
        </w:numPr>
      </w:pPr>
      <w:r>
        <w:rPr/>
        <w:t xml:space="preserve">Technici v chemických a fyzikálních vědách (kromě chemického inženýrství)</w:t>
      </w:r>
    </w:p>
    <w:p/>
    <w:p>
      <w:pPr>
        <w:pStyle w:val="Heading3"/>
      </w:pPr>
      <w:bookmarkStart w:id="4" w:name="_Toc4"/>
      <w:r>
        <w:t>Hrubé měsíční mzdy podle krajů v roce 2025</w:t>
      </w:r>
      <w:bookmarkEnd w:id="4"/>
    </w:p>
    <w:p>
      <w:pPr>
        <w:pStyle w:val="Heading4"/>
      </w:pPr>
      <w:bookmarkStart w:id="5" w:name="_Toc5"/>
      <w:r>
        <w:t>Technici v chemických a fyzikálních vědách (kromě chemického inženýrství) (CZ-ISCO 3111)</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32 090 Kč</w:t>
            </w:r>
          </w:p>
        </w:tc>
        <w:tc>
          <w:tcPr>
            <w:tcW w:w="1000" w:type="dxa"/>
          </w:tcPr>
          <w:p>
            <w:pPr>
              <w:jc w:val="center"/>
            </w:pPr>
            <w:r>
              <w:rPr/>
              <w:t xml:space="preserve">49 534 Kč</w:t>
            </w:r>
          </w:p>
        </w:tc>
        <w:tc>
          <w:tcPr>
            <w:tcW w:w="1000" w:type="dxa"/>
          </w:tcPr>
          <w:p>
            <w:pPr>
              <w:jc w:val="center"/>
            </w:pPr>
            <w:r>
              <w:rPr>
                <w:sz w:val="16"/>
                <w:szCs w:val="16"/>
              </w:rPr>
              <w:t xml:space="preserve">102 021 Kč</w:t>
            </w:r>
          </w:p>
        </w:tc>
        <w:tc>
          <w:tcPr>
            <w:tcW w:w="1000" w:type="dxa"/>
          </w:tcPr>
          <w:p/>
        </w:tc>
        <w:tc>
          <w:tcPr>
            <w:tcW w:w="1000" w:type="dxa"/>
          </w:tcPr>
          <w:p/>
        </w:tc>
        <w:tc>
          <w:tcPr>
            <w:tcW w:w="1000" w:type="dxa"/>
          </w:tcPr>
          <w:p/>
        </w:tc>
      </w:tr>
      <w:tr>
        <w:trPr/>
        <w:tc>
          <w:tcPr>
            <w:tcW w:w="2000" w:type="dxa"/>
          </w:tcPr>
          <w:p>
            <w:pPr/>
            <w:r>
              <w:rPr/>
              <w:t xml:space="preserve">Liberecký kraj</w:t>
            </w:r>
          </w:p>
        </w:tc>
        <w:tc>
          <w:tcPr>
            <w:tcW w:w="1000" w:type="dxa"/>
          </w:tcPr>
          <w:p>
            <w:pPr>
              <w:jc w:val="center"/>
            </w:pPr>
            <w:r>
              <w:rPr/>
              <w:t xml:space="preserve">41 856 Kč</w:t>
            </w:r>
          </w:p>
        </w:tc>
        <w:tc>
          <w:tcPr>
            <w:tcW w:w="1000" w:type="dxa"/>
          </w:tcPr>
          <w:p>
            <w:pPr>
              <w:jc w:val="center"/>
            </w:pPr>
            <w:r>
              <w:rPr/>
              <w:t xml:space="preserve">57 653 Kč</w:t>
            </w:r>
          </w:p>
        </w:tc>
        <w:tc>
          <w:tcPr>
            <w:tcW w:w="1000" w:type="dxa"/>
          </w:tcPr>
          <w:p>
            <w:pPr>
              <w:jc w:val="center"/>
            </w:pPr>
            <w:r>
              <w:rPr/>
              <w:t xml:space="preserve">82 397 Kč</w:t>
            </w:r>
          </w:p>
        </w:tc>
        <w:tc>
          <w:tcPr>
            <w:tcW w:w="1000" w:type="dxa"/>
          </w:tcPr>
          <w:p/>
        </w:tc>
        <w:tc>
          <w:tcPr>
            <w:tcW w:w="1000" w:type="dxa"/>
          </w:tcPr>
          <w:p/>
        </w:tc>
        <w:tc>
          <w:tcPr>
            <w:tcW w:w="1000" w:type="dxa"/>
          </w:tcPr>
          <w:p/>
        </w:tc>
      </w:tr>
      <w:tr>
        <w:trPr/>
        <w:tc>
          <w:tcPr>
            <w:tcW w:w="2000" w:type="dxa"/>
          </w:tcPr>
          <w:p>
            <w:pPr/>
            <w:r>
              <w:rPr/>
              <w:t xml:space="preserve">Královéhradecký kraj</w:t>
            </w:r>
          </w:p>
        </w:tc>
        <w:tc>
          <w:tcPr>
            <w:tcW w:w="1000" w:type="dxa"/>
          </w:tcPr>
          <w:p>
            <w:pPr>
              <w:jc w:val="center"/>
            </w:pPr>
            <w:r>
              <w:rPr/>
              <w:t xml:space="preserve">26 872 Kč</w:t>
            </w:r>
          </w:p>
        </w:tc>
        <w:tc>
          <w:tcPr>
            <w:tcW w:w="1000" w:type="dxa"/>
          </w:tcPr>
          <w:p>
            <w:pPr>
              <w:jc w:val="center"/>
            </w:pPr>
            <w:r>
              <w:rPr/>
              <w:t xml:space="preserve">48 951 Kč</w:t>
            </w:r>
          </w:p>
        </w:tc>
        <w:tc>
          <w:tcPr>
            <w:tcW w:w="1000" w:type="dxa"/>
          </w:tcPr>
          <w:p>
            <w:pPr>
              <w:jc w:val="center"/>
            </w:pPr>
            <w:r>
              <w:rPr/>
              <w:t xml:space="preserve">70 966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32 218 Kč</w:t>
            </w:r>
          </w:p>
        </w:tc>
        <w:tc>
          <w:tcPr>
            <w:tcW w:w="1000" w:type="dxa"/>
          </w:tcPr>
          <w:p>
            <w:pPr>
              <w:jc w:val="center"/>
            </w:pPr>
            <w:r>
              <w:rPr/>
              <w:t xml:space="preserve">51 486 Kč</w:t>
            </w:r>
          </w:p>
        </w:tc>
        <w:tc>
          <w:tcPr>
            <w:tcW w:w="1000" w:type="dxa"/>
          </w:tcPr>
          <w:p>
            <w:pPr>
              <w:jc w:val="center"/>
            </w:pPr>
            <w:r>
              <w:rPr/>
              <w:t xml:space="preserve">70 703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32 022 Kč</w:t>
            </w:r>
          </w:p>
        </w:tc>
        <w:tc>
          <w:tcPr>
            <w:tcW w:w="1000" w:type="dxa"/>
          </w:tcPr>
          <w:p>
            <w:pPr>
              <w:jc w:val="center"/>
            </w:pPr>
            <w:r>
              <w:rPr/>
              <w:t xml:space="preserve">50 260 Kč</w:t>
            </w:r>
          </w:p>
        </w:tc>
        <w:tc>
          <w:tcPr>
            <w:tcW w:w="1000" w:type="dxa"/>
          </w:tcPr>
          <w:p>
            <w:pPr>
              <w:jc w:val="center"/>
            </w:pPr>
            <w:r>
              <w:rPr/>
              <w:t xml:space="preserve">71 656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3111</w:t>
            </w:r>
          </w:p>
        </w:tc>
        <w:tc>
          <w:tcPr>
            <w:tcW w:w="2000" w:type="dxa"/>
          </w:tcPr>
          <w:p>
            <w:pPr/>
            <w:r>
              <w:rPr/>
              <w:t xml:space="preserve">Technici v chemických a fyzikálních vědách (kromě chemického inženýrství)</w:t>
            </w:r>
          </w:p>
        </w:tc>
        <w:tc>
          <w:tcPr>
            <w:tcW w:w="1000" w:type="dxa"/>
          </w:tcPr>
          <w:p>
            <w:pPr>
              <w:jc w:val="center"/>
            </w:pPr>
            <w:r>
              <w:rPr/>
              <w:t xml:space="preserve">45 213 Kč</w:t>
            </w:r>
          </w:p>
        </w:tc>
        <w:tc>
          <w:tcPr>
            <w:tcW w:w="1000" w:type="dxa"/>
          </w:tcPr>
          <w:p>
            <w:pPr>
              <w:jc w:val="center"/>
            </w:pPr>
            <w:r>
              <w:rPr/>
              <w:t xml:space="preserve">47 472 Kč</w:t>
            </w:r>
          </w:p>
        </w:tc>
      </w:tr>
      <w:tr>
        <w:trPr/>
        <w:tc>
          <w:tcPr>
            <w:tcW w:w="1000" w:type="dxa"/>
          </w:tcPr>
          <w:p>
            <w:pPr>
              <w:jc w:val="center"/>
            </w:pPr>
            <w:r>
              <w:rPr/>
              <w:t xml:space="preserve">31111</w:t>
            </w:r>
          </w:p>
        </w:tc>
        <w:tc>
          <w:tcPr>
            <w:tcW w:w="2000" w:type="dxa"/>
          </w:tcPr>
          <w:p>
            <w:pPr/>
            <w:r>
              <w:rPr/>
              <w:t xml:space="preserve">Technici v oblasti chemie (kromě chemického inženýrství)</w:t>
            </w:r>
          </w:p>
        </w:tc>
        <w:tc>
          <w:tcPr>
            <w:tcW w:w="1000" w:type="dxa"/>
          </w:tcPr>
          <w:p>
            <w:pPr>
              <w:jc w:val="center"/>
            </w:pPr>
            <w:r>
              <w:rPr/>
              <w:t xml:space="preserve">-</w:t>
            </w:r>
          </w:p>
        </w:tc>
        <w:tc>
          <w:tcPr>
            <w:tcW w:w="1000" w:type="dxa"/>
          </w:tcPr>
          <w:p>
            <w:pPr>
              <w:jc w:val="center"/>
            </w:pPr>
            <w:r>
              <w:rPr/>
              <w:t xml:space="preserve">37 292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3111</w:t>
            </w:r>
          </w:p>
        </w:tc>
        <w:tc>
          <w:tcPr>
            <w:tcW w:w="3000" w:type="dxa"/>
          </w:tcPr>
          <w:p>
            <w:pPr/>
            <w:r>
              <w:rPr/>
              <w:t xml:space="preserve">Technici v chemických a fyzikálních vědách (kromě chemického inženýrství)</w:t>
            </w:r>
          </w:p>
        </w:tc>
        <w:tc>
          <w:tcPr>
            <w:tcW w:w="3000" w:type="dxa"/>
          </w:tcPr>
          <w:p>
            <w:pPr/>
            <w:r>
              <w:rPr/>
              <w:t xml:space="preserve">http://data.europa.eu/esco/isco/C3111</w:t>
            </w:r>
          </w:p>
        </w:tc>
      </w:tr>
    </w:tbl>
    <w:p/>
    <w:p/>
    <w:p/>
    <w:p>
      <w:pPr>
        <w:pStyle w:val="Heading2"/>
      </w:pPr>
      <w:bookmarkStart w:id="8" w:name="_Toc8"/>
      <w:r>
        <w:t>Příklady činností</w:t>
      </w:r>
      <w:bookmarkEnd w:id="8"/>
    </w:p>
    <w:tbl>
      <w:tblGrid>
        <w:gridCol w:w="7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7000" w:type="dxa"/>
          </w:tcPr>
          <w:p>
            <w:pPr/>
            <w:r>
              <w:rPr>
                <w:b w:val="1"/>
                <w:bCs w:val="1"/>
              </w:rPr>
              <w:t xml:space="preserve">Příklady činností ze veřejného sektoru</w:t>
            </w:r>
          </w:p>
        </w:tc>
        <w:tc>
          <w:tcPr>
            <w:tcW w:w="2000" w:type="dxa"/>
          </w:tcPr>
          <w:p>
            <w:pPr>
              <w:jc w:val="center"/>
            </w:pPr>
            <w:r>
              <w:rPr>
                <w:b w:val="1"/>
                <w:bCs w:val="1"/>
              </w:rPr>
              <w:t xml:space="preserve">Platová třída</w:t>
            </w:r>
          </w:p>
        </w:tc>
      </w:tr>
      <w:tr>
        <w:trPr/>
        <w:tc>
          <w:tcPr>
            <w:tcW w:w="7000" w:type="dxa"/>
          </w:tcPr>
          <w:p>
            <w:pPr/>
            <w:r>
              <w:rPr/>
              <w:t xml:space="preserve">Stanovování technologických postupů a technických podmínek ucelených částí výrob využívajících běžné univerzální stroje a zařízení, omezený rozsah a kvalitu surovin a materiálů, nástrojů, přípravků apod.</w:t>
            </w:r>
          </w:p>
        </w:tc>
        <w:tc>
          <w:tcPr>
            <w:tcW w:w="2000" w:type="dxa"/>
          </w:tcPr>
          <w:p>
            <w:pPr>
              <w:jc w:val="center"/>
            </w:pPr>
            <w:r>
              <w:rPr/>
              <w:t xml:space="preserve">8</w:t>
            </w:r>
          </w:p>
        </w:tc>
      </w:tr>
      <w:tr>
        <w:trPr/>
        <w:tc>
          <w:tcPr>
            <w:tcW w:w="7000" w:type="dxa"/>
          </w:tcPr>
          <w:p>
            <w:pPr/>
            <w:r>
              <w:rPr/>
              <w:t xml:space="preserve">Stanovování průběhu provozních činností zajišťovaných větším počtem zaměstnanců a se značnou intenzitou vazeb mezi dílčími provozními jednotkami, popřípadě s využíváním složitějšího provozního zařízení, například údržba strojů a zařízení, stavební údržba.</w:t>
            </w:r>
          </w:p>
        </w:tc>
        <w:tc>
          <w:tcPr>
            <w:tcW w:w="2000" w:type="dxa"/>
          </w:tcPr>
          <w:p>
            <w:pPr>
              <w:jc w:val="center"/>
            </w:pPr>
            <w:r>
              <w:rPr/>
              <w:t xml:space="preserve">8</w:t>
            </w:r>
          </w:p>
        </w:tc>
      </w:tr>
    </w:tbl>
    <w:p/>
    <w:p>
      <w:pPr>
        <w:pStyle w:val="Heading2"/>
      </w:pPr>
      <w:bookmarkStart w:id="9" w:name="_Toc9"/>
      <w:r>
        <w:t>Pracovní podmínky</w:t>
      </w:r>
      <w:bookmarkEnd w:id="9"/>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10" w:name="_Toc10"/>
      <w:r>
        <w:t>Kvalifikace k výkonu povolání</w:t>
      </w:r>
      <w:bookmarkEnd w:id="10"/>
    </w:p>
    <w:p>
      <w:pPr>
        <w:pStyle w:val="Heading3"/>
      </w:pPr>
      <w:bookmarkStart w:id="11" w:name="_Toc11"/>
      <w:r>
        <w:t>Školní vzdělání</w:t>
      </w:r>
      <w:bookmarkEnd w:id="11"/>
    </w:p>
    <w:p/>
    <w:p>
      <w:pPr>
        <w:pStyle w:val="Heading4"/>
      </w:pPr>
      <w:bookmarkStart w:id="12" w:name="_Toc12"/>
      <w:r>
        <w:t>Nejvhodnější školní přípravu poskytují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chemická technologie</w:t>
            </w:r>
          </w:p>
        </w:tc>
        <w:tc>
          <w:tcPr>
            <w:tcW w:w="2000" w:type="dxa"/>
          </w:tcPr>
          <w:p>
            <w:pPr>
              <w:jc w:val="center"/>
            </w:pPr>
            <w:r>
              <w:rPr/>
              <w:t xml:space="preserve">2841M</w:t>
            </w:r>
          </w:p>
        </w:tc>
      </w:tr>
    </w:tbl>
    <w:p/>
    <w:p>
      <w:pPr>
        <w:pStyle w:val="Heading4"/>
      </w:pPr>
      <w:bookmarkStart w:id="13" w:name="_Toc13"/>
      <w:r>
        <w:t>Vhodnou školní přípravu poskytují také obory:</w:t>
      </w:r>
      <w:bookmarkEnd w:id="13"/>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aplikovaná chemie</w:t>
            </w:r>
          </w:p>
        </w:tc>
        <w:tc>
          <w:tcPr>
            <w:tcW w:w="2000" w:type="dxa"/>
          </w:tcPr>
          <w:p>
            <w:pPr>
              <w:jc w:val="center"/>
            </w:pPr>
            <w:r>
              <w:rPr/>
              <w:t xml:space="preserve">2844M</w:t>
            </w:r>
          </w:p>
        </w:tc>
      </w:tr>
      <w:tr>
        <w:trPr/>
        <w:tc>
          <w:tcPr>
            <w:tcW w:w="2000" w:type="dxa"/>
          </w:tcPr>
          <w:p>
            <w:pPr>
              <w:jc w:val="center"/>
            </w:pPr>
            <w:r>
              <w:rPr/>
              <w:t xml:space="preserve">KKOV</w:t>
            </w:r>
          </w:p>
        </w:tc>
        <w:tc>
          <w:tcPr>
            <w:tcW w:w="5000" w:type="dxa"/>
          </w:tcPr>
          <w:p>
            <w:pPr/>
            <w:r>
              <w:rPr/>
              <w:t xml:space="preserve">Střední vzdělání s maturitní zkouškou (bez vyučení) v oboru průmyslová chemie</w:t>
            </w:r>
          </w:p>
        </w:tc>
        <w:tc>
          <w:tcPr>
            <w:tcW w:w="2000" w:type="dxa"/>
          </w:tcPr>
          <w:p>
            <w:pPr>
              <w:jc w:val="center"/>
            </w:pPr>
            <w:r>
              <w:rPr/>
              <w:t xml:space="preserve">2842M</w:t>
            </w:r>
          </w:p>
        </w:tc>
      </w:tr>
      <w:tr>
        <w:trPr/>
        <w:tc>
          <w:tcPr>
            <w:tcW w:w="2000" w:type="dxa"/>
          </w:tcPr>
          <w:p>
            <w:pPr>
              <w:jc w:val="center"/>
            </w:pPr>
            <w:r>
              <w:rPr/>
              <w:t xml:space="preserve">KKOV</w:t>
            </w:r>
          </w:p>
        </w:tc>
        <w:tc>
          <w:tcPr>
            <w:tcW w:w="5000" w:type="dxa"/>
          </w:tcPr>
          <w:p>
            <w:pPr/>
            <w:r>
              <w:rPr/>
              <w:t xml:space="preserve">Střední vzdělání s maturitní zkouškou v oboru průmyslová chemie</w:t>
            </w:r>
          </w:p>
        </w:tc>
        <w:tc>
          <w:tcPr>
            <w:tcW w:w="2000" w:type="dxa"/>
          </w:tcPr>
          <w:p>
            <w:pPr>
              <w:jc w:val="center"/>
            </w:pPr>
            <w:r>
              <w:rPr/>
              <w:t xml:space="preserve">2842L</w:t>
            </w:r>
          </w:p>
        </w:tc>
      </w:tr>
      <w:tr>
        <w:trPr/>
        <w:tc>
          <w:tcPr>
            <w:tcW w:w="2000" w:type="dxa"/>
          </w:tcPr>
          <w:p>
            <w:pPr>
              <w:jc w:val="center"/>
            </w:pPr>
            <w:r>
              <w:rPr/>
              <w:t xml:space="preserve">RVP</w:t>
            </w:r>
          </w:p>
        </w:tc>
        <w:tc>
          <w:tcPr>
            <w:tcW w:w="5000" w:type="dxa"/>
          </w:tcPr>
          <w:p>
            <w:pPr/>
            <w:r>
              <w:rPr/>
              <w:t xml:space="preserve">Chemik operátor</w:t>
            </w:r>
          </w:p>
        </w:tc>
        <w:tc>
          <w:tcPr>
            <w:tcW w:w="2000" w:type="dxa"/>
          </w:tcPr>
          <w:p>
            <w:pPr>
              <w:jc w:val="center"/>
            </w:pPr>
            <w:r>
              <w:rPr/>
              <w:t xml:space="preserve">28-42-L/01</w:t>
            </w:r>
          </w:p>
        </w:tc>
      </w:tr>
    </w:tbl>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e52.A.3017</w:t>
            </w:r>
          </w:p>
        </w:tc>
        <w:tc>
          <w:tcPr>
            <w:tcW w:w="3000" w:type="dxa"/>
          </w:tcPr>
          <w:p>
            <w:pPr/>
            <w:r>
              <w:rPr/>
              <w:t xml:space="preserve">Příprava a úprava chemických látek pro proces výroby kompozitních materiálů</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e52.Z.1006</w:t>
            </w:r>
          </w:p>
        </w:tc>
        <w:tc>
          <w:tcPr>
            <w:tcW w:w="3000" w:type="dxa"/>
          </w:tcPr>
          <w:p>
            <w:pPr/>
            <w:r>
              <w:rPr/>
              <w:t xml:space="preserve">Řízení jednoduchých nebo opakujících se technologických procesů a pracovních postupů ve výrobě kompozitních materiálů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e52.A.6002</w:t>
            </w:r>
          </w:p>
        </w:tc>
        <w:tc>
          <w:tcPr>
            <w:tcW w:w="3000" w:type="dxa"/>
          </w:tcPr>
          <w:p>
            <w:pPr/>
            <w:r>
              <w:rPr/>
              <w:t xml:space="preserve">Manipulace s běžným a nebezpečným odpadem</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e52.D.2051</w:t>
            </w:r>
          </w:p>
        </w:tc>
        <w:tc>
          <w:tcPr>
            <w:tcW w:w="3000" w:type="dxa"/>
          </w:tcPr>
          <w:p>
            <w:pPr/>
            <w:r>
              <w:rPr/>
              <w:t xml:space="preserve">Dodržování zásad bezpečnosti a ochrany zdraví při práci, hygieny práce, požární prevence a ochrany životního prostředí v chemické výrobě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e52.D.3011</w:t>
            </w:r>
          </w:p>
        </w:tc>
        <w:tc>
          <w:tcPr>
            <w:tcW w:w="3000" w:type="dxa"/>
          </w:tcPr>
          <w:p>
            <w:pPr/>
            <w:r>
              <w:rPr/>
              <w:t xml:space="preserve">Posuzování hodnot a parametrů při obsluze a řízení technologických procesů ve výrobě chemických produktů, samostatné provádění výstupní kontroly a vyhodnocování závad</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e31._.0006</w:t>
            </w:r>
          </w:p>
        </w:tc>
        <w:tc>
          <w:tcPr>
            <w:tcW w:w="3000" w:type="dxa"/>
          </w:tcPr>
          <w:p>
            <w:pPr/>
            <w:r>
              <w:rPr/>
              <w:t xml:space="preserve">technologie výroby kompozitních materiálů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e52._.0003</w:t>
            </w:r>
          </w:p>
        </w:tc>
        <w:tc>
          <w:tcPr>
            <w:tcW w:w="3000" w:type="dxa"/>
          </w:tcPr>
          <w:p>
            <w:pPr/>
            <w:r>
              <w:rPr/>
              <w:t xml:space="preserve">technologie zpracování kompozitních materiálů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e52._.0001</w:t>
            </w:r>
          </w:p>
        </w:tc>
        <w:tc>
          <w:tcPr>
            <w:tcW w:w="3000" w:type="dxa"/>
          </w:tcPr>
          <w:p>
            <w:pPr/>
            <w:r>
              <w:rPr/>
              <w:t xml:space="preserve">základy chemických technologií, základní druhy strojů, zařízení a surovin</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Závažná chronická onemocnění kůže a spojivek</w:t>
      </w:r>
    </w:p>
    <w:p>
      <w:pPr>
        <w:numPr>
          <w:ilvl w:val="0"/>
          <w:numId w:val="5"/>
        </w:numPr>
      </w:pPr>
      <w:r>
        <w:rPr/>
        <w:t xml:space="preserve">Závažná orgánová onemocnění podle toxikologických vlastností látek</w:t>
      </w:r>
    </w:p>
    <w:p>
      <w:pPr>
        <w:numPr>
          <w:ilvl w:val="0"/>
          <w:numId w:val="5"/>
        </w:numPr>
      </w:pPr>
      <w:r>
        <w:rPr/>
        <w:t xml:space="preserve">Alergická onemocnění</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9E315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 pro kompozitní materiály</dc:title>
  <dc:description>Chemický technik pro kompozitní materiály řídí a kontroluje jednoduché nebo dílčí technologické operace podle standardních postupů pro výrobu kompozitu.</dc:description>
  <dc:subject/>
  <cp:keywords/>
  <cp:category>Specializace</cp:category>
  <cp:lastModifiedBy/>
  <dcterms:created xsi:type="dcterms:W3CDTF">2017-11-22T09:32:40+01:00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