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EF9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2026-03-06T16:08:11+01:00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