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Probační a mediační služby</w:t>
      </w:r>
      <w:bookmarkEnd w:id="1"/>
    </w:p>
    <w:p>
      <w:pPr/>
      <w:r>
        <w:rPr/>
        <w:t xml:space="preserve"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Příprava pokladů pro rozhodnutí o podmíněném zastavení trestního stíhání, pro schválení narovnání či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podmíněnému zastavení trestního stíhání, narovnání,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Komunikace s příslušným soudcem, státním zástupcem a ostatními orgány.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Nahlížení do trestních spisů vedených u soudu, státního zastupitelství a Policie České republiky, pořizování výpisků, poznámek a kopií spisů a jejich částí.</w:t>
      </w:r>
    </w:p>
    <w:p>
      <w:pPr>
        <w:numPr>
          <w:ilvl w:val="0"/>
          <w:numId w:val="5"/>
        </w:numPr>
      </w:pPr>
      <w:r>
        <w:rPr/>
        <w:t xml:space="preserve">Administrativní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probačních činností spojených s vedením a kontrolou odsouzených k alternativním trestům včetně mapování a prevence rizik opakování trestné činnosti. Poradenství a vedení spolupracujících organizací a poskytování podpůrných služeb a poradenství pro oběti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probace a mediace podle 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C90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Probační a mediační služby</dc:title>
  <dc:description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dc:description>
  <dc:subject/>
  <cp:keywords/>
  <cp:category>Povolání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