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služeb</w:t>
      </w:r>
      <w:bookmarkEnd w:id="1"/>
    </w:p>
    <w:p>
      <w:pPr/>
      <w:r>
        <w:rPr/>
        <w:t xml:space="preserve"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metodiky provozu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prohlídek, revizí, údržby a plánovaných oprav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a postupů pro vykonávání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87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služeb</dc:title>
  <dc:description>Vrchní komisař - technik služeb samostatně a komplexně zajišťuje tvůrčí řešení nejsložitějších specializovaných a expertizních úkolů na úseku speciálních služeb, a to na úseku chemické, strojní, technické a spojové služby s územně vymezenou působností.</dc:description>
  <dc:subject/>
  <cp:keywords/>
  <cp:category>Specializace</cp:category>
  <cp:lastModifiedBy/>
  <dcterms:created xsi:type="dcterms:W3CDTF">2017-11-22T09:27:35+01:00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