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specialista</w:t>
      </w:r>
      <w:bookmarkEnd w:id="1"/>
    </w:p>
    <w:p>
      <w:pPr/>
      <w:r>
        <w:rPr/>
        <w:t xml:space="preserve">Zahradnický specialista řídí a organizuje květinářské, ovocnářské, zelinářské a školkařské práce v rozsáhlé zahradnické firmě, stanovuje koncepční záměry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plánů zahradnické produkce a struktury.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zahradnické produkci.</w:t>
      </w:r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8FE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specialista</dc:title>
  <dc:description>Zahradnický specialista řídí a organizuje květinářské, ovocnářské, zelinářské a školkařské práce v rozsáhlé zahradnické firmě, stanovuje koncepční záměry v této oblasti.</dc:description>
  <dc:subject/>
  <cp:keywords/>
  <cp:category>Povolání</cp:category>
  <cp:lastModifiedBy/>
  <dcterms:created xsi:type="dcterms:W3CDTF">2017-11-22T09:26:21+01:00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