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krajinář</w:t>
      </w:r>
      <w:bookmarkEnd w:id="1"/>
    </w:p>
    <w:p>
      <w:pPr/>
      <w:r>
        <w:rPr/>
        <w:t xml:space="preserve"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Landscape 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památek zahradního umění, zahradních staveb a areálů, souborů staveb a jejich částí.</w:t>
      </w:r>
    </w:p>
    <w:p>
      <w:pPr>
        <w:numPr>
          <w:ilvl w:val="0"/>
          <w:numId w:val="5"/>
        </w:numPr>
      </w:pPr>
      <w:r>
        <w:rPr/>
        <w:t xml:space="preserve">Dokumentace vegetačních prvků územních celků, chráněných území a jejich částí.</w:t>
      </w:r>
    </w:p>
    <w:p>
      <w:pPr>
        <w:numPr>
          <w:ilvl w:val="0"/>
          <w:numId w:val="5"/>
        </w:numPr>
      </w:pPr>
      <w:r>
        <w:rPr/>
        <w:t xml:space="preserve">Tvorba vysoce specializovaných elaborátů.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Průběžné doplňování odborných znalostí.</w:t>
      </w:r>
    </w:p>
    <w:p>
      <w:pPr>
        <w:numPr>
          <w:ilvl w:val="0"/>
          <w:numId w:val="5"/>
        </w:numPr>
      </w:pPr>
      <w:r>
        <w:rPr/>
        <w:t xml:space="preserve">Zapojení do mezinárodních organizací a projektů v oblasti ochrany a poznávání památek zahradního umění.</w:t>
      </w:r>
    </w:p>
    <w:p>
      <w:pPr>
        <w:numPr>
          <w:ilvl w:val="0"/>
          <w:numId w:val="5"/>
        </w:numPr>
      </w:pPr>
      <w:r>
        <w:rPr/>
        <w:t xml:space="preserve">Koordinace odborných průzkumů památek zahradního umění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památek zahradního umění.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 v oboru památek zahradního umění.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fondu památek zahradního umění.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sadovnickém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základním sortimentu rostlin, technickém a dekoračním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taxonů okrasných rostlin používaných pro venkovní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druhů okrasných rostlin,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orientace v morfologii, anatomii, fyziologii a fytopatologii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parku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E4A9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krajinář</dc:title>
  <dc:description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