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Makléř</w:t>
      </w:r>
      <w:bookmarkEnd w:id="1"/>
    </w:p>
    <w:p>
      <w:pPr/>
      <w:r>
        <w:rPr/>
        <w:t xml:space="preserve">Makléř zajišťuje tvorbu a realizaci strategie a plánu obchodů s cennými papíry pro banku a klienty, uzavírá nejvýznamnější a nejsložitější obchody s cennými papíry.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Bank broker</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Vykonávání akviziční činnosti bankovních produktů, služeb a obchodů.</w:t>
      </w:r>
    </w:p>
    <w:p>
      <w:pPr>
        <w:numPr>
          <w:ilvl w:val="0"/>
          <w:numId w:val="5"/>
        </w:numPr>
      </w:pPr>
      <w:r>
        <w:rPr/>
        <w:t xml:space="preserve">Vyhledávání a získávání nových klientů banky a obchodních partnerů.</w:t>
      </w:r>
    </w:p>
    <w:p>
      <w:pPr>
        <w:numPr>
          <w:ilvl w:val="0"/>
          <w:numId w:val="5"/>
        </w:numPr>
      </w:pPr>
      <w:r>
        <w:rPr/>
        <w:t xml:space="preserve">Uzavírání nejvýznamnějších a nejsložitějších obchodů s cennými papíry dle pokynů klientů.</w:t>
      </w:r>
    </w:p>
    <w:p>
      <w:pPr>
        <w:numPr>
          <w:ilvl w:val="0"/>
          <w:numId w:val="5"/>
        </w:numPr>
      </w:pPr>
      <w:r>
        <w:rPr/>
        <w:t xml:space="preserve">Zajišťování trvalého přímého kontaktu s českými i zahraničními kapitálovými trhy.</w:t>
      </w:r>
    </w:p>
    <w:p>
      <w:pPr>
        <w:numPr>
          <w:ilvl w:val="0"/>
          <w:numId w:val="5"/>
        </w:numPr>
      </w:pPr>
      <w:r>
        <w:rPr/>
        <w:t xml:space="preserve">Zpracování reportů a vedení předepsané dokumentace.</w:t>
      </w:r>
    </w:p>
    <w:p>
      <w:pPr>
        <w:numPr>
          <w:ilvl w:val="0"/>
          <w:numId w:val="5"/>
        </w:numPr>
      </w:pPr>
      <w:r>
        <w:rPr/>
        <w:t xml:space="preserve">Získávání a vyhodnocování informací o aktuálním dění na tuzemských a zahraničních kapitálových trzích a jejich odborná interpretace a prezentace.</w:t>
      </w:r>
    </w:p>
    <w:p>
      <w:pPr>
        <w:numPr>
          <w:ilvl w:val="0"/>
          <w:numId w:val="5"/>
        </w:numPr>
      </w:pPr>
      <w:r>
        <w:rPr/>
        <w:t xml:space="preserve">Komplexní poradenské, konzultační a zprostředkovatelské služby pro klienty v oblasti kapitálových trhů.</w:t>
      </w:r>
    </w:p>
    <w:p/>
    <w:p>
      <w:pPr>
        <w:pStyle w:val="Heading2"/>
      </w:pPr>
      <w:bookmarkStart w:id="3" w:name="_Toc3"/>
      <w:r>
        <w:t>CZ-ISCO</w:t>
      </w:r>
      <w:bookmarkEnd w:id="3"/>
    </w:p>
    <w:p>
      <w:pPr>
        <w:numPr>
          <w:ilvl w:val="0"/>
          <w:numId w:val="5"/>
        </w:numPr>
      </w:pPr>
      <w:r>
        <w:rPr/>
        <w:t xml:space="preserve">Bankovní makléři</w:t>
      </w:r>
    </w:p>
    <w:p>
      <w:pPr>
        <w:numPr>
          <w:ilvl w:val="0"/>
          <w:numId w:val="5"/>
        </w:numPr>
      </w:pPr>
      <w:r>
        <w:rPr/>
        <w:t xml:space="preserve">Finanční a investiční poradci a příbuzní specialisté</w:t>
      </w:r>
    </w:p>
    <w:p/>
    <w:p>
      <w:pPr>
        <w:pStyle w:val="Heading3"/>
      </w:pPr>
      <w:bookmarkStart w:id="4" w:name="_Toc4"/>
      <w:r>
        <w:t>Hrubé měsíční mzdy podle krajů v roce 2020</w:t>
      </w:r>
      <w:bookmarkEnd w:id="4"/>
    </w:p>
    <w:p>
      <w:pPr>
        <w:pStyle w:val="Heading4"/>
      </w:pPr>
      <w:bookmarkStart w:id="5" w:name="_Toc5"/>
      <w:r>
        <w:t>Finanční a investiční poradci a příbuzní specialisté (CZ-ISCO 2412)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35 102 Kč</w:t>
            </w:r>
          </w:p>
        </w:tc>
        <w:tc>
          <w:tcPr>
            <w:tcW w:w="1000" w:type="dxa"/>
          </w:tcPr>
          <w:p>
            <w:pPr>
              <w:jc w:val="center"/>
            </w:pPr>
            <w:r>
              <w:rPr/>
              <w:t xml:space="preserve">62 473 Kč</w:t>
            </w:r>
          </w:p>
        </w:tc>
        <w:tc>
          <w:tcPr>
            <w:tcW w:w="1000" w:type="dxa"/>
          </w:tcPr>
          <w:p>
            <w:pPr>
              <w:jc w:val="center"/>
            </w:pPr>
            <w:r>
              <w:rPr>
                <w:sz w:val="16"/>
                <w:szCs w:val="16"/>
              </w:rPr>
              <w:t xml:space="preserve">148 649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33 314 Kč</w:t>
            </w:r>
          </w:p>
        </w:tc>
        <w:tc>
          <w:tcPr>
            <w:tcW w:w="1000" w:type="dxa"/>
          </w:tcPr>
          <w:p>
            <w:pPr>
              <w:jc w:val="center"/>
            </w:pPr>
            <w:r>
              <w:rPr/>
              <w:t xml:space="preserve">46 556 Kč</w:t>
            </w:r>
          </w:p>
        </w:tc>
        <w:tc>
          <w:tcPr>
            <w:tcW w:w="1000" w:type="dxa"/>
          </w:tcPr>
          <w:p>
            <w:pPr>
              <w:jc w:val="center"/>
            </w:pPr>
            <w:r>
              <w:rPr/>
              <w:t xml:space="preserve">73 878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31 617 Kč</w:t>
            </w:r>
          </w:p>
        </w:tc>
        <w:tc>
          <w:tcPr>
            <w:tcW w:w="1000" w:type="dxa"/>
          </w:tcPr>
          <w:p>
            <w:pPr>
              <w:jc w:val="center"/>
            </w:pPr>
            <w:r>
              <w:rPr/>
              <w:t xml:space="preserve">47 970 Kč</w:t>
            </w:r>
          </w:p>
        </w:tc>
        <w:tc>
          <w:tcPr>
            <w:tcW w:w="1000" w:type="dxa"/>
          </w:tcPr>
          <w:p>
            <w:pPr>
              <w:jc w:val="center"/>
            </w:pPr>
            <w:r>
              <w:rPr/>
              <w:t xml:space="preserve">91 141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29 535 Kč</w:t>
            </w:r>
          </w:p>
        </w:tc>
        <w:tc>
          <w:tcPr>
            <w:tcW w:w="1000" w:type="dxa"/>
          </w:tcPr>
          <w:p>
            <w:pPr>
              <w:jc w:val="center"/>
            </w:pPr>
            <w:r>
              <w:rPr/>
              <w:t xml:space="preserve">44 779 Kč</w:t>
            </w:r>
          </w:p>
        </w:tc>
        <w:tc>
          <w:tcPr>
            <w:tcW w:w="1000" w:type="dxa"/>
          </w:tcPr>
          <w:p>
            <w:pPr>
              <w:jc w:val="center"/>
            </w:pPr>
            <w:r>
              <w:rPr/>
              <w:t xml:space="preserve">78 820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32 093 Kč</w:t>
            </w:r>
          </w:p>
        </w:tc>
        <w:tc>
          <w:tcPr>
            <w:tcW w:w="1000" w:type="dxa"/>
          </w:tcPr>
          <w:p>
            <w:pPr>
              <w:jc w:val="center"/>
            </w:pPr>
            <w:r>
              <w:rPr/>
              <w:t xml:space="preserve">45 255 Kč</w:t>
            </w:r>
          </w:p>
        </w:tc>
        <w:tc>
          <w:tcPr>
            <w:tcW w:w="1000" w:type="dxa"/>
          </w:tcPr>
          <w:p>
            <w:pPr>
              <w:jc w:val="center"/>
            </w:pPr>
            <w:r>
              <w:rPr/>
              <w:t xml:space="preserve">70 100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33 017 Kč</w:t>
            </w:r>
          </w:p>
        </w:tc>
        <w:tc>
          <w:tcPr>
            <w:tcW w:w="1000" w:type="dxa"/>
          </w:tcPr>
          <w:p>
            <w:pPr>
              <w:jc w:val="center"/>
            </w:pPr>
            <w:r>
              <w:rPr/>
              <w:t xml:space="preserve">44 122 Kč</w:t>
            </w:r>
          </w:p>
        </w:tc>
        <w:tc>
          <w:tcPr>
            <w:tcW w:w="1000" w:type="dxa"/>
          </w:tcPr>
          <w:p>
            <w:pPr>
              <w:jc w:val="center"/>
            </w:pPr>
            <w:r>
              <w:rPr/>
              <w:t xml:space="preserve">74 195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30 950 Kč</w:t>
            </w:r>
          </w:p>
        </w:tc>
        <w:tc>
          <w:tcPr>
            <w:tcW w:w="1000" w:type="dxa"/>
          </w:tcPr>
          <w:p>
            <w:pPr>
              <w:jc w:val="center"/>
            </w:pPr>
            <w:r>
              <w:rPr/>
              <w:t xml:space="preserve">44 611 Kč</w:t>
            </w:r>
          </w:p>
        </w:tc>
        <w:tc>
          <w:tcPr>
            <w:tcW w:w="1000" w:type="dxa"/>
          </w:tcPr>
          <w:p>
            <w:pPr>
              <w:jc w:val="center"/>
            </w:pPr>
            <w:r>
              <w:rPr/>
              <w:t xml:space="preserve">87 389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31 163 Kč</w:t>
            </w:r>
          </w:p>
        </w:tc>
        <w:tc>
          <w:tcPr>
            <w:tcW w:w="1000" w:type="dxa"/>
          </w:tcPr>
          <w:p>
            <w:pPr>
              <w:jc w:val="center"/>
            </w:pPr>
            <w:r>
              <w:rPr/>
              <w:t xml:space="preserve">42 476 Kč</w:t>
            </w:r>
          </w:p>
        </w:tc>
        <w:tc>
          <w:tcPr>
            <w:tcW w:w="1000" w:type="dxa"/>
          </w:tcPr>
          <w:p>
            <w:pPr>
              <w:jc w:val="center"/>
            </w:pPr>
            <w:r>
              <w:rPr/>
              <w:t xml:space="preserve">80 288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31 141 Kč</w:t>
            </w:r>
          </w:p>
        </w:tc>
        <w:tc>
          <w:tcPr>
            <w:tcW w:w="1000" w:type="dxa"/>
          </w:tcPr>
          <w:p>
            <w:pPr>
              <w:jc w:val="center"/>
            </w:pPr>
            <w:r>
              <w:rPr/>
              <w:t xml:space="preserve">45 042 Kč</w:t>
            </w:r>
          </w:p>
        </w:tc>
        <w:tc>
          <w:tcPr>
            <w:tcW w:w="1000" w:type="dxa"/>
          </w:tcPr>
          <w:p>
            <w:pPr>
              <w:jc w:val="center"/>
            </w:pPr>
            <w:r>
              <w:rPr/>
              <w:t xml:space="preserve">74 603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31 607 Kč</w:t>
            </w:r>
          </w:p>
        </w:tc>
        <w:tc>
          <w:tcPr>
            <w:tcW w:w="1000" w:type="dxa"/>
          </w:tcPr>
          <w:p>
            <w:pPr>
              <w:jc w:val="center"/>
            </w:pPr>
            <w:r>
              <w:rPr/>
              <w:t xml:space="preserve">42 827 Kč</w:t>
            </w:r>
          </w:p>
        </w:tc>
        <w:tc>
          <w:tcPr>
            <w:tcW w:w="1000" w:type="dxa"/>
          </w:tcPr>
          <w:p>
            <w:pPr>
              <w:jc w:val="center"/>
            </w:pPr>
            <w:r>
              <w:rPr/>
              <w:t xml:space="preserve">66 851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29 915 Kč</w:t>
            </w:r>
          </w:p>
        </w:tc>
        <w:tc>
          <w:tcPr>
            <w:tcW w:w="1000" w:type="dxa"/>
          </w:tcPr>
          <w:p>
            <w:pPr>
              <w:jc w:val="center"/>
            </w:pPr>
            <w:r>
              <w:rPr/>
              <w:t xml:space="preserve">43 257 Kč</w:t>
            </w:r>
          </w:p>
        </w:tc>
        <w:tc>
          <w:tcPr>
            <w:tcW w:w="1000" w:type="dxa"/>
          </w:tcPr>
          <w:p>
            <w:pPr>
              <w:jc w:val="center"/>
            </w:pPr>
            <w:r>
              <w:rPr/>
              <w:t xml:space="preserve">87 712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30 115 Kč</w:t>
            </w:r>
          </w:p>
        </w:tc>
        <w:tc>
          <w:tcPr>
            <w:tcW w:w="1000" w:type="dxa"/>
          </w:tcPr>
          <w:p>
            <w:pPr>
              <w:jc w:val="center"/>
            </w:pPr>
            <w:r>
              <w:rPr/>
              <w:t xml:space="preserve">45 221 Kč</w:t>
            </w:r>
          </w:p>
        </w:tc>
        <w:tc>
          <w:tcPr>
            <w:tcW w:w="1000" w:type="dxa"/>
          </w:tcPr>
          <w:p>
            <w:pPr>
              <w:jc w:val="center"/>
            </w:pPr>
            <w:r>
              <w:rPr/>
              <w:t xml:space="preserve">85 563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30 959 Kč</w:t>
            </w:r>
          </w:p>
        </w:tc>
        <w:tc>
          <w:tcPr>
            <w:tcW w:w="1000" w:type="dxa"/>
          </w:tcPr>
          <w:p>
            <w:pPr>
              <w:jc w:val="center"/>
            </w:pPr>
            <w:r>
              <w:rPr/>
              <w:t xml:space="preserve">42 300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31 202 Kč</w:t>
            </w:r>
          </w:p>
        </w:tc>
        <w:tc>
          <w:tcPr>
            <w:tcW w:w="1000" w:type="dxa"/>
          </w:tcPr>
          <w:p>
            <w:pPr>
              <w:jc w:val="center"/>
            </w:pPr>
            <w:r>
              <w:rPr/>
              <w:t xml:space="preserve">42 635 Kč</w:t>
            </w:r>
          </w:p>
        </w:tc>
        <w:tc>
          <w:tcPr>
            <w:tcW w:w="1000" w:type="dxa"/>
          </w:tcPr>
          <w:p>
            <w:pPr>
              <w:jc w:val="center"/>
            </w:pPr>
            <w:r>
              <w:rPr/>
              <w:t xml:space="preserve">78 223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2412</w:t>
            </w:r>
          </w:p>
        </w:tc>
        <w:tc>
          <w:tcPr>
            <w:tcW w:w="2000" w:type="dxa"/>
          </w:tcPr>
          <w:p>
            <w:pPr/>
            <w:r>
              <w:rPr/>
              <w:t xml:space="preserve">Finanční a investiční poradci a příbuzní specialisté</w:t>
            </w:r>
          </w:p>
        </w:tc>
        <w:tc>
          <w:tcPr>
            <w:tcW w:w="1000" w:type="dxa"/>
          </w:tcPr>
          <w:p>
            <w:pPr>
              <w:jc w:val="center"/>
            </w:pPr>
            <w:r>
              <w:rPr/>
              <w:t xml:space="preserve">43 730 Kč</w:t>
            </w:r>
          </w:p>
        </w:tc>
        <w:tc>
          <w:tcPr>
            <w:tcW w:w="1000" w:type="dxa"/>
          </w:tcPr>
          <w:p>
            <w:pPr>
              <w:jc w:val="center"/>
            </w:pPr>
            <w:r>
              <w:rPr/>
              <w:t xml:space="preserve">50 667 Kč</w:t>
            </w:r>
          </w:p>
        </w:tc>
      </w:tr>
      <w:tr>
        <w:trPr/>
        <w:tc>
          <w:tcPr>
            <w:tcW w:w="1000" w:type="dxa"/>
          </w:tcPr>
          <w:p>
            <w:pPr>
              <w:jc w:val="center"/>
            </w:pPr>
            <w:r>
              <w:rPr/>
              <w:t xml:space="preserve">24124</w:t>
            </w:r>
          </w:p>
        </w:tc>
        <w:tc>
          <w:tcPr>
            <w:tcW w:w="2000" w:type="dxa"/>
          </w:tcPr>
          <w:p>
            <w:pPr/>
            <w:r>
              <w:rPr/>
              <w:t xml:space="preserve">Bankovní makléři</w:t>
            </w:r>
          </w:p>
        </w:tc>
        <w:tc>
          <w:tcPr>
            <w:tcW w:w="1000" w:type="dxa"/>
          </w:tcPr>
          <w:p>
            <w:pPr>
              <w:jc w:val="center"/>
            </w:pPr>
            <w:r>
              <w:rPr/>
              <w:t xml:space="preserve">-</w:t>
            </w:r>
          </w:p>
        </w:tc>
        <w:tc>
          <w:tcPr>
            <w:tcW w:w="1000" w:type="dxa"/>
          </w:tcPr>
          <w:p>
            <w:pPr>
              <w:jc w:val="center"/>
            </w:pPr>
            <w:r>
              <w:rPr/>
              <w:t xml:space="preserve">46 113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r>
        <w:trPr/>
        <w:tc>
          <w:tcPr>
            <w:tcW w:w="2000" w:type="dxa"/>
          </w:tcPr>
          <w:p>
            <w:pPr>
              <w:jc w:val="center"/>
            </w:pPr>
            <w:r>
              <w:rPr/>
              <w:t xml:space="preserve">KKOV</w:t>
            </w:r>
          </w:p>
        </w:tc>
        <w:tc>
          <w:tcPr>
            <w:tcW w:w="5000" w:type="dxa"/>
          </w:tcPr>
          <w:p>
            <w:pPr/>
            <w:r>
              <w:rPr/>
              <w:t xml:space="preserve">Magisterský studijní program v oboru strojírenství se zaměřením na ekonomiku a řízení</w:t>
            </w:r>
          </w:p>
        </w:tc>
        <w:tc>
          <w:tcPr>
            <w:tcW w:w="2000" w:type="dxa"/>
          </w:tcPr>
          <w:p>
            <w:pPr>
              <w:jc w:val="center"/>
            </w:pPr>
            <w:r>
              <w:rPr/>
              <w:t xml:space="preserve">2305T</w:t>
            </w:r>
          </w:p>
        </w:tc>
      </w:tr>
      <w:tr>
        <w:trPr/>
        <w:tc>
          <w:tcPr>
            <w:tcW w:w="2000" w:type="dxa"/>
          </w:tcPr>
          <w:p>
            <w:pPr>
              <w:jc w:val="center"/>
            </w:pPr>
            <w:r>
              <w:rPr/>
              <w:t xml:space="preserve">KKOV</w:t>
            </w:r>
          </w:p>
        </w:tc>
        <w:tc>
          <w:tcPr>
            <w:tcW w:w="5000" w:type="dxa"/>
          </w:tcPr>
          <w:p>
            <w:pPr/>
            <w:r>
              <w:rPr/>
              <w:t xml:space="preserve">Magisterský studijní program v oboru elektrotechnika se zaměřením na ekonomiku a řízení</w:t>
            </w:r>
          </w:p>
        </w:tc>
        <w:tc>
          <w:tcPr>
            <w:tcW w:w="2000" w:type="dxa"/>
          </w:tcPr>
          <w:p>
            <w:pPr>
              <w:jc w:val="center"/>
            </w:pPr>
            <w:r>
              <w:rPr/>
              <w:t xml:space="preserve">2608T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ekonomika a řízení v dopravě a spojích</w:t>
            </w:r>
          </w:p>
        </w:tc>
        <w:tc>
          <w:tcPr>
            <w:tcW w:w="2000" w:type="dxa"/>
          </w:tcPr>
          <w:p>
            <w:pPr>
              <w:jc w:val="center"/>
            </w:pPr>
            <w:r>
              <w:rPr/>
              <w:t xml:space="preserve">3707T</w:t>
            </w:r>
          </w:p>
        </w:tc>
      </w:tr>
      <w:tr>
        <w:trPr/>
        <w:tc>
          <w:tcPr>
            <w:tcW w:w="2000" w:type="dxa"/>
          </w:tcPr>
          <w:p>
            <w:pPr>
              <w:jc w:val="center"/>
            </w:pPr>
            <w:r>
              <w:rPr/>
              <w:t xml:space="preserve">KKOV</w:t>
            </w:r>
          </w:p>
        </w:tc>
        <w:tc>
          <w:tcPr>
            <w:tcW w:w="5000" w:type="dxa"/>
          </w:tcPr>
          <w:p>
            <w:pPr/>
            <w:r>
              <w:rPr/>
              <w:t xml:space="preserve">Magisterský studijní program v oboru ekonomika a řízení zdravotnictví</w:t>
            </w:r>
          </w:p>
        </w:tc>
        <w:tc>
          <w:tcPr>
            <w:tcW w:w="2000" w:type="dxa"/>
          </w:tcPr>
          <w:p>
            <w:pPr>
              <w:jc w:val="center"/>
            </w:pPr>
            <w:r>
              <w:rPr/>
              <w:t xml:space="preserve">5346T</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bl>
    <w:p>
      <w:pPr>
        <w:pStyle w:val="Heading3"/>
      </w:pPr>
      <w:bookmarkStart w:id="12" w:name="_Toc12"/>
      <w:r>
        <w:t>Legislativní požadavky</w:t>
      </w:r>
      <w:bookmarkEnd w:id="12"/>
    </w:p>
    <w:p>
      <w:pPr>
        <w:numPr>
          <w:ilvl w:val="0"/>
          <w:numId w:val="5"/>
        </w:numPr>
      </w:pPr>
      <w:r>
        <w:rPr/>
        <w:t xml:space="preserve">povinné - Činnosti investičního zprostředkovatele (osvědčení o registraci) podle § 30 zákona č. 256/2004 Sb., o podnikání na kapitálovém trhu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i11.C.2434</w:t>
            </w:r>
          </w:p>
        </w:tc>
        <w:tc>
          <w:tcPr>
            <w:tcW w:w="3000" w:type="dxa"/>
          </w:tcPr>
          <w:p>
            <w:pPr/>
            <w:r>
              <w:rPr/>
              <w:t xml:space="preserve">Získávání nových klientů banky a obchodních partnerů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i13.D.2431</w:t>
            </w:r>
          </w:p>
        </w:tc>
        <w:tc>
          <w:tcPr>
            <w:tcW w:w="3000" w:type="dxa"/>
          </w:tcPr>
          <w:p>
            <w:pPr/>
            <w:r>
              <w:rPr/>
              <w:t xml:space="preserve">Zpracovávání strategie, politiky a plánu obchodů s cennými papíry na úseku investičního bankovnictví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i11.D.3431</w:t>
            </w:r>
          </w:p>
        </w:tc>
        <w:tc>
          <w:tcPr>
            <w:tcW w:w="3000" w:type="dxa"/>
          </w:tcPr>
          <w:p>
            <w:pPr/>
            <w:r>
              <w:rPr/>
              <w:t xml:space="preserve">Kontrola průběhu celého obchodu až do jeho konečného vypořádání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i13.D.6431</w:t>
            </w:r>
          </w:p>
        </w:tc>
        <w:tc>
          <w:tcPr>
            <w:tcW w:w="3000" w:type="dxa"/>
          </w:tcPr>
          <w:p>
            <w:pPr/>
            <w:r>
              <w:rPr/>
              <w:t xml:space="preserve">Provádění vlastních analýz vývoje na kapitálových trzích včetně jejich interpretace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i13.D.8431</w:t>
            </w:r>
          </w:p>
        </w:tc>
        <w:tc>
          <w:tcPr>
            <w:tcW w:w="3000" w:type="dxa"/>
          </w:tcPr>
          <w:p>
            <w:pPr/>
            <w:r>
              <w:rPr/>
              <w:t xml:space="preserve">Příprava podkladů a dokladů potřebných pro uskutečňování složitých obchodů na kapitálových trzích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i11.D.8432</w:t>
            </w:r>
          </w:p>
        </w:tc>
        <w:tc>
          <w:tcPr>
            <w:tcW w:w="3000" w:type="dxa"/>
          </w:tcPr>
          <w:p>
            <w:pPr/>
            <w:r>
              <w:rPr/>
              <w:t xml:space="preserve">Vedení požadované dokumentace (o uskutečněných obchodech, o klientech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i13.D.8433</w:t>
            </w:r>
          </w:p>
        </w:tc>
        <w:tc>
          <w:tcPr>
            <w:tcW w:w="3000" w:type="dxa"/>
          </w:tcPr>
          <w:p>
            <w:pPr/>
            <w:r>
              <w:rPr/>
              <w:t xml:space="preserve">Zjišťování a vyhledávání informací o vývoji na finančních a kapitálových trzích v tuzemsku i v zahraničí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i13.D.9431</w:t>
            </w:r>
          </w:p>
        </w:tc>
        <w:tc>
          <w:tcPr>
            <w:tcW w:w="3000" w:type="dxa"/>
          </w:tcPr>
          <w:p>
            <w:pPr/>
            <w:r>
              <w:rPr/>
              <w:t xml:space="preserve">Zpracovávání propagačních materiálů o vývoji na kapitálových trzích, o jeho vlivu na jednotlivé produkty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i13.C.1431</w:t>
            </w:r>
          </w:p>
        </w:tc>
        <w:tc>
          <w:tcPr>
            <w:tcW w:w="3000" w:type="dxa"/>
          </w:tcPr>
          <w:p>
            <w:pPr/>
            <w:r>
              <w:rPr/>
              <w:t xml:space="preserve">Poskytování komplexní poradenské a konzultační služby pro klienty v oblasti kapitálových trhů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i13.C.2431</w:t>
            </w:r>
          </w:p>
        </w:tc>
        <w:tc>
          <w:tcPr>
            <w:tcW w:w="3000" w:type="dxa"/>
          </w:tcPr>
          <w:p>
            <w:pPr/>
            <w:r>
              <w:rPr/>
              <w:t xml:space="preserve">Projednávání nejsložitějších obchodů v oblasti cenných papírů s klienty i s ostatními účastníky tohoto obchodu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i13.C.2432</w:t>
            </w:r>
          </w:p>
        </w:tc>
        <w:tc>
          <w:tcPr>
            <w:tcW w:w="3000" w:type="dxa"/>
          </w:tcPr>
          <w:p>
            <w:pPr/>
            <w:r>
              <w:rPr/>
              <w:t xml:space="preserve">Zajišťování realizace nejsložitějších obchodů s cennými papíry dle požadavků klientů a v souladu s platnými předpisy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i13.C.2433</w:t>
            </w:r>
          </w:p>
        </w:tc>
        <w:tc>
          <w:tcPr>
            <w:tcW w:w="3000" w:type="dxa"/>
          </w:tcPr>
          <w:p>
            <w:pPr/>
            <w:r>
              <w:rPr/>
              <w:t xml:space="preserve">Zajišťování trvalého přímého kontaktu s českými i zahraničními kapitálovými trhy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i11._.0041</w:t>
            </w:r>
          </w:p>
        </w:tc>
        <w:tc>
          <w:tcPr>
            <w:tcW w:w="3000" w:type="dxa"/>
          </w:tcPr>
          <w:p>
            <w:pPr/>
            <w:r>
              <w:rPr/>
              <w:t xml:space="preserve">mezinárodní bankovnictví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i11._.0046</w:t>
            </w:r>
          </w:p>
        </w:tc>
        <w:tc>
          <w:tcPr>
            <w:tcW w:w="3000" w:type="dxa"/>
          </w:tcPr>
          <w:p>
            <w:pPr/>
            <w:r>
              <w:rPr/>
              <w:t xml:space="preserve">investiční bankovnictví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i41._.0022</w:t>
            </w:r>
          </w:p>
        </w:tc>
        <w:tc>
          <w:tcPr>
            <w:tcW w:w="3000" w:type="dxa"/>
          </w:tcPr>
          <w:p>
            <w:pPr/>
            <w:r>
              <w:rPr/>
              <w:t xml:space="preserve">právo v oblasti finančních a kapitálových trhů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6" w:name="_Toc16"/>
      <w:r>
        <w:t>Zdravotní podmínky</w:t>
      </w:r>
      <w:bookmarkEnd w:id="16"/>
    </w:p>
    <w:p>
      <w:pPr>
        <w:pStyle w:val="Heading3"/>
      </w:pPr>
      <w:bookmarkStart w:id="17" w:name="_Toc17"/>
      <w:r>
        <w:t>Onemocnění omezující výkon povolání / specializace povolání.</w:t>
      </w:r>
      <w:bookmarkEnd w:id="17"/>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8" w:name="_Toc18"/>
      <w:r>
        <w:t>Onemocnění vylučující výkon povolání / specializace povolání.e</w:t>
      </w:r>
      <w:bookmarkEnd w:id="18"/>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CB6C6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Makléř</dc:title>
  <dc:description>Makléř zajišťuje tvorbu a realizaci strategie a plánu obchodů s cennými papíry pro banku a klienty, uzavírá nejvýznamnější a nejsložitější obchody s cennými papíry.</dc:description>
  <dc:subject/>
  <cp:keywords/>
  <cp:category>Specializace</cp:category>
  <cp:lastModifiedBy/>
  <dcterms:created xsi:type="dcterms:W3CDTF">2017-11-22T09:25:08+01:00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