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Překladatel</w:t>
      </w:r>
      <w:bookmarkEnd w:id="0"/>
    </w:p>
    <w:p>
      <w:pPr/>
      <w:r>
        <w:rPr/>
        <w:t xml:space="preserve">Překladatel překládá texty z jednoho jazyka do druhého.
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noWrap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  <w:noWrap/>
          </w:tcPr>
          <w:p>
            <w:pPr/>
            <w:r>
              <w:rPr/>
              <w:t xml:space="preserve">Média, publicistika a knihovnictví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>
            <w:noWrap/>
          </w:tcPr>
          <w:p>
            <w:pPr/>
            <w:r>
              <w:rPr/>
              <w:t xml:space="preserve">tlumočení, překladatelství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>
            <w:noWrap/>
          </w:tcPr>
          <w:p>
            <w:pPr/>
            <w:r>
              <w:rPr/>
              <w:t xml:space="preserve">Magisterský studijní program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Alternativní názvy:</w:t>
            </w:r>
          </w:p>
        </w:tc>
        <w:tc>
          <w:tcPr>
            <w:noWrap/>
          </w:tcPr>
          <w:p>
            <w:pPr/>
            <w:r>
              <w:rPr/>
              <w:t xml:space="preserve">Translator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Nadřízené povolání:</w:t>
            </w:r>
          </w:p>
        </w:tc>
        <w:tc>
          <w:tcPr>
            <w:noWrap/>
          </w:tcPr>
          <w:p>
            <w:pPr/>
            <w:r>
              <w:rPr/>
              <w:t xml:space="preserve">Tlumočník, překladatel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Příbuzné specializace:</w:t>
            </w:r>
          </w:p>
        </w:tc>
        <w:tc>
          <w:tcPr>
            <w:noWrap/>
          </w:tcPr>
          <w:p>
            <w:pPr/>
            <w:r>
              <w:rPr/>
              <w:t xml:space="preserve">Tlumočník, Tlumočník znakové řeči, Překladatel uměleckých textů, Soudní tlumočník a překladatel, Překladatel, Konsekutivní tlumočník, Simultánní tlumočník, Překladatel odborných textů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>
            <w:noWrap/>
          </w:tcPr>
          <w:p>
            <w:pPr/>
            <w:r>
              <w:rPr/>
              <w:t xml:space="preserve">ne</w:t>
            </w:r>
          </w:p>
        </w:tc>
      </w:tr>
    </w:tbl>
    <w:p/>
    <w:p>
      <w:pPr>
        <w:pStyle w:val="Heading2"/>
      </w:pPr>
      <w:bookmarkStart w:id="1" w:name="_Toc1"/>
      <w:r>
        <w:t>Pracovní činnosti</w:t>
      </w:r>
      <w:bookmarkEnd w:id="1"/>
    </w:p>
    <w:p>
      <w:pPr>
        <w:numPr>
          <w:ilvl w:val="0"/>
          <w:numId w:val="5"/>
        </w:numPr>
      </w:pPr>
      <w:r>
        <w:rPr/>
        <w:t xml:space="preserve">Písemný překlad různorodých uměleckých či odborných textů.</w:t>
      </w:r>
    </w:p>
    <w:p>
      <w:pPr>
        <w:numPr>
          <w:ilvl w:val="0"/>
          <w:numId w:val="5"/>
        </w:numPr>
      </w:pPr>
      <w:r>
        <w:rPr/>
        <w:t xml:space="preserve">Příprava odborných materiálů pro realizaci vlastní překladatelské činnosti.</w:t>
      </w:r>
    </w:p>
    <w:p>
      <w:pPr>
        <w:numPr>
          <w:ilvl w:val="0"/>
          <w:numId w:val="5"/>
        </w:numPr>
      </w:pPr>
      <w:r>
        <w:rPr/>
        <w:t xml:space="preserve">Studium jazykové a odborné literatury s cílem zabezpečit správnost překladu.</w:t>
      </w:r>
    </w:p>
    <w:p>
      <w:pPr>
        <w:numPr>
          <w:ilvl w:val="0"/>
          <w:numId w:val="5"/>
        </w:numPr>
      </w:pPr>
      <w:r>
        <w:rPr/>
        <w:t xml:space="preserve">Kontrolní čtení přeložených textů zaměřené na odstranění nepřesností a případných věcných a jazykových chyb v překladu.</w:t>
      </w:r>
    </w:p>
    <w:p>
      <w:pPr>
        <w:numPr>
          <w:ilvl w:val="0"/>
          <w:numId w:val="5"/>
        </w:numPr>
      </w:pPr>
      <w:r>
        <w:rPr/>
        <w:t xml:space="preserve">Prezentace přeloženého textu zadavateli/odběrateli překladu.</w:t>
      </w:r>
    </w:p>
    <w:p>
      <w:pPr>
        <w:numPr>
          <w:ilvl w:val="0"/>
          <w:numId w:val="5"/>
        </w:numPr>
      </w:pPr>
      <w:r>
        <w:rPr/>
        <w:t xml:space="preserve">Čtení a interpretace překládaného textu s následným výběrem odpovídající překladatelské metody.</w:t>
      </w:r>
    </w:p>
    <w:p/>
    <w:p>
      <w:pPr>
        <w:pStyle w:val="Heading2"/>
      </w:pPr>
      <w:bookmarkStart w:id="2" w:name="_Toc2"/>
      <w:r>
        <w:t>CZ-ISCO</w:t>
      </w:r>
      <w:bookmarkEnd w:id="2"/>
    </w:p>
    <w:p>
      <w:pPr>
        <w:numPr>
          <w:ilvl w:val="0"/>
          <w:numId w:val="5"/>
        </w:numPr>
      </w:pPr>
      <w:r>
        <w:rPr/>
        <w:t xml:space="preserve">Překladatelé a tlumočníci</w:t>
      </w:r>
    </w:p>
    <w:p>
      <w:pPr>
        <w:numPr>
          <w:ilvl w:val="0"/>
          <w:numId w:val="5"/>
        </w:numPr>
      </w:pPr>
      <w:r>
        <w:rPr/>
        <w:t xml:space="preserve">Překladatelé, tlumočníci a jazykovědci</w:t>
      </w:r>
    </w:p>
    <w:p/>
    <w:p>
      <w:pPr>
        <w:pStyle w:val="Heading3"/>
      </w:pPr>
      <w:bookmarkStart w:id="3" w:name="_Toc3"/>
      <w:r>
        <w:t>Hrubé měsíční mzdy v roce 2025 celkem</w:t>
      </w:r>
      <w:bookmarkEnd w:id="3"/>
    </w:p>
    <w:tbl>
      <w:tblGrid>
        <w:gridCol w:w="1000" w:type="dxa"/>
        <w:gridCol w:w="2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gridSpan w:val="2"/>
            <w:noWrap/>
          </w:tcPr>
          <w:p/>
        </w:tc>
        <w:tc>
          <w:tcPr>
            <w:tcW w:w="6000" w:type="dxa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 za ČR celkem</w:t>
            </w:r>
          </w:p>
        </w:tc>
      </w:tr>
      <w:tr>
        <w:trPr/>
        <w:tc>
          <w:tcPr>
            <w:tcW w:w="1000" w:type="dxa"/>
            <w:noWrap/>
          </w:tcPr>
          <w:p>
            <w:pPr/>
            <w:r>
              <w:rPr>
                <w:b w:val="1"/>
                <w:bCs w:val="1"/>
              </w:rPr>
              <w:t xml:space="preserve">CZ-ISCO</w:t>
            </w:r>
          </w:p>
        </w:tc>
        <w:tc>
          <w:tcPr>
            <w:tcW w:w="2000" w:type="dxa"/>
            <w:noWrap/>
          </w:tcPr>
          <w:p/>
        </w:tc>
        <w:tc>
          <w:tcPr>
            <w:tcW w:w="3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2643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Překladatelé, tlumočníci a jazykovědci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47 144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43 726 Kč</w:t>
            </w:r>
          </w:p>
        </w:tc>
      </w:tr>
      <w:tr>
        <w:trPr/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26431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Překladatelé a tlumočníci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47 144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41 933 Kč</w:t>
            </w:r>
          </w:p>
        </w:tc>
      </w:tr>
    </w:tbl>
    <w:p/>
    <w:p>
      <w:pPr>
        <w:pStyle w:val="Heading2"/>
      </w:pPr>
      <w:bookmarkStart w:id="4" w:name="_Toc4"/>
      <w:r>
        <w:t>ESCO</w:t>
      </w:r>
      <w:bookmarkEnd w:id="4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  <w:noWrap/>
          </w:tcPr>
          <w:p>
            <w:pPr/>
            <w:r>
              <w:rPr/>
              <w:t xml:space="preserve">2643</w:t>
            </w:r>
          </w:p>
        </w:tc>
        <w:tc>
          <w:tcPr>
            <w:tcW w:w="3000" w:type="dxa"/>
            <w:noWrap/>
          </w:tcPr>
          <w:p>
            <w:pPr/>
            <w:r>
              <w:rPr/>
              <w:t xml:space="preserve">Překladatelé, tlumočníci a jazykovědci</w:t>
            </w:r>
          </w:p>
        </w:tc>
        <w:tc>
          <w:tcPr>
            <w:tcW w:w="3000" w:type="dxa"/>
            <w:noWrap/>
          </w:tcPr>
          <w:p>
            <w:pPr/>
            <w:r>
              <w:rPr/>
              <w:t xml:space="preserve">http://data.europa.eu/esco/isco/C2643</w:t>
            </w:r>
          </w:p>
        </w:tc>
      </w:tr>
    </w:tbl>
    <w:p/>
    <w:p/>
    <w:p/>
    <w:p>
      <w:pPr>
        <w:pStyle w:val="Heading2"/>
      </w:pPr>
      <w:bookmarkStart w:id="5" w:name="_Toc5"/>
      <w:r>
        <w:t>Příklady činností</w:t>
      </w:r>
      <w:bookmarkEnd w:id="5"/>
    </w:p>
    <w:tbl>
      <w:tblGrid>
        <w:gridCol w:w="7000" w:type="dxa"/>
        <w:gridCol w:w="2000" w:type="dxa"/>
      </w:tblGrid>
      <w:tblPr>
        <w:jc w:val="start"/>
        <w:tblW w:w="0" w:type="auto"/>
        <w:tblCellSpacing w:w="50" w:type="dxa"/>
        <w:tblLayout w:type="autofit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7000" w:type="dxa"/>
            <w:noWrap/>
          </w:tcPr>
          <w:p>
            <w:pPr/>
            <w:r>
              <w:rPr>
                <w:b w:val="1"/>
                <w:bCs w:val="1"/>
              </w:rPr>
              <w:t xml:space="preserve">Příklady činností ze veřejného sektoru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třída</w:t>
            </w:r>
          </w:p>
        </w:tc>
      </w:tr>
      <w:tr>
        <w:trPr/>
        <w:tc>
          <w:tcPr>
            <w:tcW w:w="7000" w:type="dxa"/>
            <w:noWrap/>
          </w:tcPr>
          <w:p>
            <w:pPr/>
            <w:r>
              <w:rPr/>
              <w:t xml:space="preserve">Překlady pro mezinárodní akty, smlouvy, nóty a jiné dokumenty oficiálního mezinárodního styku z běžně nepoužívaných jazyků a naopak.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12</w:t>
            </w:r>
          </w:p>
        </w:tc>
      </w:tr>
      <w:tr>
        <w:trPr/>
        <w:tc>
          <w:tcPr>
            <w:tcW w:w="7000" w:type="dxa"/>
            <w:noWrap/>
          </w:tcPr>
          <w:p>
            <w:pPr/>
            <w:r>
              <w:rPr/>
              <w:t xml:space="preserve">Překlady pro mezinárodní akty, smlouvy, nóty a jiné dokumenty oficiálního mezinárodního styku v běžně užívaných světových jazycích.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11</w:t>
            </w:r>
          </w:p>
        </w:tc>
      </w:tr>
      <w:tr>
        <w:trPr/>
        <w:tc>
          <w:tcPr>
            <w:tcW w:w="7000" w:type="dxa"/>
            <w:noWrap/>
          </w:tcPr>
          <w:p>
            <w:pPr/>
            <w:r>
              <w:rPr/>
              <w:t xml:space="preserve">Písemný překlad odborných textů předpokládajících znalost odborné terminologie a obratů v běžně užívaných světových jazycích (např. angličtině, němčině, francouzštině, španělštině apod.).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10</w:t>
            </w:r>
          </w:p>
        </w:tc>
      </w:tr>
    </w:tbl>
    <w:p/>
    <w:p>
      <w:pPr>
        <w:pStyle w:val="Heading2"/>
      </w:pPr>
      <w:bookmarkStart w:id="6" w:name="_Toc6"/>
      <w:r>
        <w:t>Pracovní podmínky</w:t>
      </w:r>
      <w:bookmarkEnd w:id="6"/>
    </w:p>
    <w:p>
      <w:pPr/>
      <w:r>
        <w:rPr/>
        <w:t xml:space="preserve">Rizikové faktory pracovních podmínek a vyskytující se druhy zátěže upravuje nařízení vlády č. 361/2007 Sb., kterým se stanoví podmínky ochrany zdraví při práci, zákon č. 258/2000 Sb., o ochraně veřejného zdraví a zákon č. 262/2006 Sb., zákoník práce. Vždy vyplývají z pracovních podmínek, které se vztahují ke konkrétnímu zaměstnavateli, tudíž se mohou u různých zaměstnavatelů lišit.</w:t>
      </w:r>
    </w:p>
    <w:p/>
    <w:p>
      <w:pPr/>
      <w:r>
        <w:rPr/>
        <w:t xml:space="preserve">Určení míry výskytu faktorů, které mohou ovlivnit zdraví při práci vychází z druhu práce vykonávané na pracovišti. Faktory se zařazují do čtyř kategorií dle míry zdravotního rizika a jeho vlivu na zdraví. O zařazení prací do třetí nebo čtvrté kategorie rozhoduje příslušný orgán ochrany veřejného zdraví.</w:t>
      </w:r>
    </w:p>
    <w:p/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1. Stupeň zátěže (minimální zdravotní riziko) - Faktor se při výkonu práce nevyskytuje nebo je zátěž faktorem minimální, vliv faktoru je ze zdravotního hlediska nevýznamný.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2. Stupeň zátěže (únosná míra zdravotního rizika) - Ze zdravotního hlediska je míra zátěže faktorem únosná, nepřekračuje limity stanovené předpisy, vliv faktoru je akceptovatelný pro zdravého člověka.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3. Stupeň zátěže (významná míra zdravotního rizika) - Úroveň zátěže překračuje stanovené limitní hodnoty expozice (zátěže), na pracovištích je nutná realizace náhradních technických a organizačních opatření, nelze vyloučit negativní vliv na zdraví pracovníků.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4. Stupeň zátěže (vysoká míra zdravotního rizika) - Úroveň zátěže vysoce překračuje stanovené limitní hodnoty expozice, na pracovištích musí být dodržován soubor preventivních opatření, častěji dochází k poškození zdraví.</w:t>
      </w:r>
    </w:p>
    <w:p/>
    <w:p/>
    <w:p>
      <w:pPr>
        <w:pStyle w:val="Heading2"/>
      </w:pPr>
      <w:bookmarkStart w:id="7" w:name="_Toc7"/>
      <w:r>
        <w:t>Kvalifikace k výkonu povolání</w:t>
      </w:r>
      <w:bookmarkEnd w:id="7"/>
    </w:p>
    <w:p>
      <w:pPr>
        <w:pStyle w:val="Heading3"/>
      </w:pPr>
      <w:bookmarkStart w:id="8" w:name="_Toc8"/>
      <w:r>
        <w:t>Školní vzdělání</w:t>
      </w:r>
      <w:bookmarkEnd w:id="8"/>
    </w:p>
    <w:p/>
    <w:p>
      <w:pPr>
        <w:pStyle w:val="Heading4"/>
      </w:pPr>
      <w:bookmarkStart w:id="9" w:name="_Toc9"/>
      <w:r>
        <w:t>Nejvhodnější školní přípravu poskytují obory:</w:t>
      </w:r>
      <w:bookmarkEnd w:id="9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Bakalářský studijní program v oboru filologie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7310R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Magisterský studijní program v oboru filologie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7310T</w:t>
            </w:r>
          </w:p>
        </w:tc>
      </w:tr>
    </w:tbl>
    <w:p/>
    <w:p>
      <w:pPr>
        <w:pStyle w:val="Heading4"/>
      </w:pPr>
      <w:bookmarkStart w:id="10" w:name="_Toc10"/>
      <w:r>
        <w:t>Vhodnou školní přípravu poskytují také obory:</w:t>
      </w:r>
      <w:bookmarkEnd w:id="10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Bakalářský studijní program ve skupině oborů pedagogika, učitelství a sociální péče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75xxR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Magisterský studijní program ve skupině oborů pedagogika, učitelství a sociální péče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75xxT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Střední vzdělání s maturitní zkouškou (bez vyučení)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xxxxM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Vyšší odborné vzdělání v oboru cestovní ruch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6543N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Střední vzdělání s maturitní zkouškou v oboru gymnázium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7941K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Bakalářský studijní program v oboru mediální a komunikační studia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7202R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Magisterský studijní program v oboru mediální a komunikační studia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7202T</w:t>
            </w:r>
          </w:p>
        </w:tc>
      </w:tr>
    </w:tbl>
    <w:p/>
    <w:p>
      <w:pPr>
        <w:pStyle w:val="Heading2"/>
      </w:pPr>
      <w:bookmarkStart w:id="11" w:name="_Toc11"/>
      <w:r>
        <w:t>Kompetenční požadavky</w:t>
      </w:r>
      <w:bookmarkEnd w:id="11"/>
    </w:p>
    <w:p>
      <w:pPr>
        <w:pStyle w:val="Heading3"/>
      </w:pPr>
      <w:bookmarkStart w:id="12" w:name="_Toc12"/>
      <w:r>
        <w:t>Odborné dovednosti</w:t>
      </w:r>
      <w:bookmarkEnd w:id="12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  <w:noWrap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m11.D.2120</w:t>
            </w:r>
          </w:p>
        </w:tc>
        <w:tc>
          <w:tcPr>
            <w:tcW w:w="3000" w:type="dxa"/>
            <w:noWrap/>
          </w:tcPr>
          <w:p>
            <w:pPr/>
            <w:r>
              <w:rPr/>
              <w:t xml:space="preserve">Využívání základních technik beletristické tvorby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m11.F.2121</w:t>
            </w:r>
          </w:p>
        </w:tc>
        <w:tc>
          <w:tcPr>
            <w:tcW w:w="3000" w:type="dxa"/>
            <w:noWrap/>
          </w:tcPr>
          <w:p>
            <w:pPr/>
            <w:r>
              <w:rPr/>
              <w:t xml:space="preserve">Využívání umění výstavby děje a kompozice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j36.D.7106</w:t>
            </w:r>
          </w:p>
        </w:tc>
        <w:tc>
          <w:tcPr>
            <w:tcW w:w="3000" w:type="dxa"/>
            <w:noWrap/>
          </w:tcPr>
          <w:p>
            <w:pPr/>
            <w:r>
              <w:rPr/>
              <w:t xml:space="preserve">Používání široké slovní zásoby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j36.D.9105</w:t>
            </w:r>
          </w:p>
        </w:tc>
        <w:tc>
          <w:tcPr>
            <w:tcW w:w="3000" w:type="dxa"/>
            <w:noWrap/>
          </w:tcPr>
          <w:p>
            <w:pPr/>
            <w:r>
              <w:rPr/>
              <w:t xml:space="preserve">Využívání  odborné jazykové literatury – slovníky (překladové, terminologické, atd.)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j36.D.9104</w:t>
            </w:r>
          </w:p>
        </w:tc>
        <w:tc>
          <w:tcPr>
            <w:tcW w:w="3000" w:type="dxa"/>
            <w:noWrap/>
          </w:tcPr>
          <w:p>
            <w:pPr/>
            <w:r>
              <w:rPr/>
              <w:t xml:space="preserve">Využívání odborné literatury související s překládaným textem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j41.C.6902</w:t>
            </w:r>
          </w:p>
        </w:tc>
        <w:tc>
          <w:tcPr>
            <w:tcW w:w="3000" w:type="dxa"/>
            <w:noWrap/>
          </w:tcPr>
          <w:p>
            <w:pPr/>
            <w:r>
              <w:rPr/>
              <w:t xml:space="preserve">Interpretace překládaného textu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j36.D.8100</w:t>
            </w:r>
          </w:p>
        </w:tc>
        <w:tc>
          <w:tcPr>
            <w:tcW w:w="3000" w:type="dxa"/>
            <w:noWrap/>
          </w:tcPr>
          <w:p>
            <w:pPr/>
            <w:r>
              <w:rPr/>
              <w:t xml:space="preserve">Výběr vhodné překladatelské metody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j36.D.9100</w:t>
            </w:r>
          </w:p>
        </w:tc>
        <w:tc>
          <w:tcPr>
            <w:tcW w:w="3000" w:type="dxa"/>
            <w:noWrap/>
          </w:tcPr>
          <w:p>
            <w:pPr/>
            <w:r>
              <w:rPr/>
              <w:t xml:space="preserve">Využívání pomocné literatury související s překládaným textem (historické, apod.)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j36.D.7100</w:t>
            </w:r>
          </w:p>
        </w:tc>
        <w:tc>
          <w:tcPr>
            <w:tcW w:w="3000" w:type="dxa"/>
            <w:noWrap/>
          </w:tcPr>
          <w:p>
            <w:pPr/>
            <w:r>
              <w:rPr/>
              <w:t xml:space="preserve">Vyhotovování písemných překladů různorodých uměleckých a odborných textů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3" w:name="_Toc13"/>
      <w:r>
        <w:t>Odborné znalosti</w:t>
      </w:r>
      <w:bookmarkEnd w:id="13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  <w:noWrap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j36._.0051</w:t>
            </w:r>
          </w:p>
        </w:tc>
        <w:tc>
          <w:tcPr>
            <w:tcW w:w="3000" w:type="dxa"/>
            <w:noWrap/>
          </w:tcPr>
          <w:p>
            <w:pPr/>
            <w:r>
              <w:rPr/>
              <w:t xml:space="preserve">jazyk vybrané země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j36._.0061</w:t>
            </w:r>
          </w:p>
        </w:tc>
        <w:tc>
          <w:tcPr>
            <w:tcW w:w="3000" w:type="dxa"/>
            <w:noWrap/>
          </w:tcPr>
          <w:p>
            <w:pPr/>
            <w:r>
              <w:rPr/>
              <w:t xml:space="preserve">kultura vybrané země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j37._.0003</w:t>
            </w:r>
          </w:p>
        </w:tc>
        <w:tc>
          <w:tcPr>
            <w:tcW w:w="3000" w:type="dxa"/>
            <w:noWrap/>
          </w:tcPr>
          <w:p>
            <w:pPr/>
            <w:r>
              <w:rPr/>
              <w:t xml:space="preserve">lingvistika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j37._.0004</w:t>
            </w:r>
          </w:p>
        </w:tc>
        <w:tc>
          <w:tcPr>
            <w:tcW w:w="3000" w:type="dxa"/>
            <w:noWrap/>
          </w:tcPr>
          <w:p>
            <w:pPr/>
            <w:r>
              <w:rPr/>
              <w:t xml:space="preserve">sémantika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4" w:name="_Toc14"/>
      <w:r>
        <w:t>Digitální kompetence</w:t>
      </w:r>
      <w:bookmarkEnd w:id="14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5.3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Kreativní využívání digitálních technologií  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5.2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Identifikace potřeb a výběr vhodných technologií  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Ochrana životního prostředí  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Ochrana zdraví a duševní pohody  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Autorská práva a licence  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3.2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Integrace a přepracování digitálního obsahu  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Tvorba digitálního obsahu  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Netiketa  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Správa dat, informací a digitálního obsahu  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5.4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Identifikace nedostatků v digitálních kompetencích  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2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p/>
    <w:p>
      <w:pPr>
        <w:pStyle w:val="Heading2"/>
      </w:pPr>
      <w:bookmarkStart w:id="15" w:name="_Toc15"/>
      <w:r>
        <w:t>Zdravotní podmínky</w:t>
      </w:r>
      <w:bookmarkEnd w:id="15"/>
    </w:p>
    <w:p>
      <w:pPr>
        <w:pStyle w:val="Heading3"/>
      </w:pPr>
      <w:bookmarkStart w:id="16" w:name="_Toc16"/>
      <w:r>
        <w:t>Onemocnění omezující výkon povolání / specializace povolání.</w:t>
      </w:r>
      <w:bookmarkEnd w:id="16"/>
    </w:p>
    <w:p>
      <w:pPr>
        <w:numPr>
          <w:ilvl w:val="0"/>
          <w:numId w:val="5"/>
        </w:numPr>
      </w:pPr>
      <w:r>
        <w:rPr/>
        <w:t xml:space="preserve">Duševní poruchy a poruchy chování</w:t>
      </w:r>
    </w:p>
    <w:p>
      <w:pPr/>
      <w:r>
        <w:rPr>
          <w:sz w:val="16"/>
          <w:szCs w:val="16"/>
          <w:i w:val="1"/>
          <w:iCs w:val="1"/>
        </w:rPr>
        <w:t xml:space="preserve">Přesné posouzení zdravotního stavu s následným doporučením nebo nedoporučením výkonu této pozice je možné pouze po konzultaci s lékařem.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5DFFD4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Překladatel</dc:title>
  <dc:description>Překladatel překládá texty z jednoho jazyka do druhého.
</dc:description>
  <dc:subject/>
  <cp:keywords/>
  <cp:category>Specializace</cp:category>
  <cp:lastModifiedBy/>
  <dcterms:created xsi:type="dcterms:W3CDTF">2017-11-22T09:22:54+00:00</dcterms:created>
  <dcterms:modified xsi:type="dcterms:W3CDTF">2024-03-26T10:03:33+00:00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