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svařování</w:t>
      </w:r>
      <w:bookmarkEnd w:id="1"/>
    </w:p>
    <w:p>
      <w:pPr/>
      <w:r>
        <w:rPr/>
        <w:t xml:space="preserve">Specialista svařování navrhuje svařovací technologie a postupy pro svařovaní konstrukcí a výrobků, u kterých jsou požadovány speciální technické znalosti dle ČSN EN a standardní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svařovací technologie a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svařovacích postupů.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postupy svařování.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 kovů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96D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svařování</dc:title>
  <dc:description>Specialista svařování navrhuje svařovací technologie a postupy pro svařovaní konstrukcí a výrobků, u kterých jsou požadovány speciální technické znalosti dle ČSN EN a standardní požadavky na jakost dle ČSN EN.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