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rybářský technik</w:t>
      </w:r>
      <w:bookmarkEnd w:id="1"/>
    </w:p>
    <w:p>
      <w:pPr/>
      <w:r>
        <w:rPr/>
        <w:t xml:space="preserve">Samostatný rybářský technik organizuje a řídí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realizace melioračních opatření.</w:t>
      </w:r>
    </w:p>
    <w:p>
      <w:pPr>
        <w:numPr>
          <w:ilvl w:val="0"/>
          <w:numId w:val="5"/>
        </w:numPr>
      </w:pPr>
      <w:r>
        <w:rPr/>
        <w:t xml:space="preserve">Sledování a vyhodnocování jakosti vod a návrh opatření k optimalizaci její kvality.</w:t>
      </w:r>
    </w:p>
    <w:p>
      <w:pPr>
        <w:numPr>
          <w:ilvl w:val="0"/>
          <w:numId w:val="5"/>
        </w:numPr>
      </w:pPr>
      <w:r>
        <w:rPr/>
        <w:t xml:space="preserve">Vyhodnocení stavu obsádek ryb.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Organizování chovu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Organizování zpracování ryb, včetně zajištění zásad hygieny a potravní bezpečnosti.</w:t>
      </w:r>
    </w:p>
    <w:p>
      <w:pPr>
        <w:numPr>
          <w:ilvl w:val="0"/>
          <w:numId w:val="5"/>
        </w:numPr>
      </w:pPr>
      <w:r>
        <w:rPr/>
        <w:t xml:space="preserve">Návrhy a realizace zoohygienických opatření.</w:t>
      </w:r>
    </w:p>
    <w:p>
      <w:pPr>
        <w:numPr>
          <w:ilvl w:val="0"/>
          <w:numId w:val="5"/>
        </w:numPr>
      </w:pPr>
      <w:r>
        <w:rPr/>
        <w:t xml:space="preserve">Vedení vodohospodářské agendy, účast při vodoprávních jednáních.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Umělý a přirozený výtěr ryb, odchov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reprodukce, odchovu a výkrmu jatečné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a plemenitba ryb a vodní drůbeže (selekce, značení, evidence)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FCA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rybářský technik</dc:title>
  <dc:description>Samostatný rybářský technik organizuje a řídí práce při zajišťování chovu ryb a vodní drůbeže.</dc:description>
  <dc:subject/>
  <cp:keywords/>
  <cp:category>Povolání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