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devizových obchodů</w:t>
      </w:r>
      <w:bookmarkEnd w:id="1"/>
    </w:p>
    <w:p>
      <w:pPr/>
      <w:r>
        <w:rPr/>
        <w:t xml:space="preserve">Samostatný pracovník devizových obchodů provádí zajišťování, posuzování a sledování připravovaných a realizovaných devizových obchodů.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devizových obchodů, Referent zahraničního platebního styku, Foreign Payments Officer</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Sledování devizových kurzů a vyhodnocování jejich vývoje.</w:t>
      </w:r>
    </w:p>
    <w:p>
      <w:pPr>
        <w:numPr>
          <w:ilvl w:val="0"/>
          <w:numId w:val="5"/>
        </w:numPr>
      </w:pPr>
      <w:r>
        <w:rPr/>
        <w:t xml:space="preserve">Zajišťování nabídky individuálních služeb v oblasti devizových obchodů klientům banky.</w:t>
      </w:r>
    </w:p>
    <w:p>
      <w:pPr>
        <w:numPr>
          <w:ilvl w:val="0"/>
          <w:numId w:val="5"/>
        </w:numPr>
      </w:pPr>
      <w:r>
        <w:rPr/>
        <w:t xml:space="preserve">Zpracování dokumentace návrhů na poskytování devizových úvěrů.</w:t>
      </w:r>
    </w:p>
    <w:p>
      <w:pPr>
        <w:numPr>
          <w:ilvl w:val="0"/>
          <w:numId w:val="5"/>
        </w:numPr>
      </w:pPr>
      <w:r>
        <w:rPr/>
        <w:t xml:space="preserve">Sledování návratnosti devizových úvěrů a navrhování opatření.</w:t>
      </w:r>
    </w:p>
    <w:p>
      <w:pPr>
        <w:numPr>
          <w:ilvl w:val="0"/>
          <w:numId w:val="5"/>
        </w:numPr>
      </w:pPr>
      <w:r>
        <w:rPr/>
        <w:t xml:space="preserve">Vedení předepsané evidence a statistiky.</w:t>
      </w:r>
    </w:p>
    <w:p>
      <w:pPr>
        <w:numPr>
          <w:ilvl w:val="0"/>
          <w:numId w:val="5"/>
        </w:numPr>
      </w:pPr>
      <w:r>
        <w:rPr/>
        <w:t xml:space="preserve">Konzultační a poradenská činnost.</w:t>
      </w:r>
    </w:p>
    <w:p/>
    <w:p>
      <w:pPr>
        <w:pStyle w:val="Heading2"/>
      </w:pPr>
      <w:bookmarkStart w:id="3" w:name="_Toc3"/>
      <w:r>
        <w:t>CZ-ISCO</w:t>
      </w:r>
      <w:bookmarkEnd w:id="3"/>
    </w:p>
    <w:p>
      <w:pPr>
        <w:numPr>
          <w:ilvl w:val="0"/>
          <w:numId w:val="5"/>
        </w:numPr>
      </w:pPr>
      <w:r>
        <w:rPr/>
        <w:t xml:space="preserve">Zprostředkovatelé finančních transakcí a finanční makléři</w:t>
      </w:r>
    </w:p>
    <w:p>
      <w:pPr>
        <w:numPr>
          <w:ilvl w:val="0"/>
          <w:numId w:val="5"/>
        </w:numPr>
      </w:pPr>
      <w:r>
        <w:rPr/>
        <w:t xml:space="preserve">Zprostředkovatelé finančních transakcí a finanční makléři</w:t>
      </w:r>
    </w:p>
    <w:p/>
    <w:p>
      <w:pPr>
        <w:pStyle w:val="Heading3"/>
      </w:pPr>
      <w:bookmarkStart w:id="4" w:name="_Toc4"/>
      <w:r>
        <w:t>Hrubé měsíční mzdy podle krajů v roce 2020</w:t>
      </w:r>
      <w:bookmarkEnd w:id="4"/>
    </w:p>
    <w:p>
      <w:pPr>
        <w:pStyle w:val="Heading4"/>
      </w:pPr>
      <w:bookmarkStart w:id="5" w:name="_Toc5"/>
      <w:r>
        <w:t>Zprostředkovatelé finančních transakcí a finanční makléři (CZ-ISCO 3311)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31 354 Kč</w:t>
            </w:r>
          </w:p>
        </w:tc>
        <w:tc>
          <w:tcPr>
            <w:tcW w:w="1000" w:type="dxa"/>
          </w:tcPr>
          <w:p>
            <w:pPr>
              <w:jc w:val="center"/>
            </w:pPr>
            <w:r>
              <w:rPr/>
              <w:t xml:space="preserve">46 764 Kč</w:t>
            </w:r>
          </w:p>
        </w:tc>
        <w:tc>
          <w:tcPr>
            <w:tcW w:w="1000" w:type="dxa"/>
          </w:tcPr>
          <w:p>
            <w:pPr>
              <w:jc w:val="center"/>
            </w:pPr>
            <w:r>
              <w:rPr>
                <w:sz w:val="16"/>
                <w:szCs w:val="16"/>
              </w:rPr>
              <w:t xml:space="preserve">110 960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25 006 Kč</w:t>
            </w:r>
          </w:p>
        </w:tc>
        <w:tc>
          <w:tcPr>
            <w:tcW w:w="1000" w:type="dxa"/>
          </w:tcPr>
          <w:p>
            <w:pPr>
              <w:jc w:val="center"/>
            </w:pPr>
            <w:r>
              <w:rPr/>
              <w:t xml:space="preserve">27 856 Kč</w:t>
            </w:r>
          </w:p>
        </w:tc>
        <w:tc>
          <w:tcPr>
            <w:tcW w:w="1000" w:type="dxa"/>
          </w:tcPr>
          <w:p>
            <w:pPr>
              <w:jc w:val="center"/>
            </w:pPr>
            <w:r>
              <w:rPr/>
              <w:t xml:space="preserve">43 249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22 637 Kč</w:t>
            </w:r>
          </w:p>
        </w:tc>
        <w:tc>
          <w:tcPr>
            <w:tcW w:w="1000" w:type="dxa"/>
          </w:tcPr>
          <w:p>
            <w:pPr>
              <w:jc w:val="center"/>
            </w:pPr>
            <w:r>
              <w:rPr/>
              <w:t xml:space="preserve">25 632 Kč</w:t>
            </w:r>
          </w:p>
        </w:tc>
        <w:tc>
          <w:tcPr>
            <w:tcW w:w="1000" w:type="dxa"/>
          </w:tcPr>
          <w:p>
            <w:pPr>
              <w:jc w:val="center"/>
            </w:pPr>
            <w:r>
              <w:rPr/>
              <w:t xml:space="preserve">39 613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25 570 Kč</w:t>
            </w:r>
          </w:p>
        </w:tc>
        <w:tc>
          <w:tcPr>
            <w:tcW w:w="1000" w:type="dxa"/>
          </w:tcPr>
          <w:p>
            <w:pPr>
              <w:jc w:val="center"/>
            </w:pPr>
            <w:r>
              <w:rPr/>
              <w:t xml:space="preserve">33 225 Kč</w:t>
            </w:r>
          </w:p>
        </w:tc>
        <w:tc>
          <w:tcPr>
            <w:tcW w:w="1000" w:type="dxa"/>
          </w:tcPr>
          <w:p>
            <w:pPr>
              <w:jc w:val="center"/>
            </w:pPr>
            <w:r>
              <w:rPr/>
              <w:t xml:space="preserve">67 035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22 977 Kč</w:t>
            </w:r>
          </w:p>
        </w:tc>
        <w:tc>
          <w:tcPr>
            <w:tcW w:w="1000" w:type="dxa"/>
          </w:tcPr>
          <w:p>
            <w:pPr>
              <w:jc w:val="center"/>
            </w:pPr>
            <w:r>
              <w:rPr/>
              <w:t xml:space="preserve">29 919 Kč</w:t>
            </w:r>
          </w:p>
        </w:tc>
        <w:tc>
          <w:tcPr>
            <w:tcW w:w="1000" w:type="dxa"/>
          </w:tcPr>
          <w:p>
            <w:pPr>
              <w:jc w:val="center"/>
            </w:pPr>
            <w:r>
              <w:rPr/>
              <w:t xml:space="preserve">60 579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22 525 Kč</w:t>
            </w:r>
          </w:p>
        </w:tc>
        <w:tc>
          <w:tcPr>
            <w:tcW w:w="1000" w:type="dxa"/>
          </w:tcPr>
          <w:p>
            <w:pPr>
              <w:jc w:val="center"/>
            </w:pPr>
            <w:r>
              <w:rPr/>
              <w:t xml:space="preserve">25 995 Kč</w:t>
            </w:r>
          </w:p>
        </w:tc>
        <w:tc>
          <w:tcPr>
            <w:tcW w:w="1000" w:type="dxa"/>
          </w:tcPr>
          <w:p>
            <w:pPr>
              <w:jc w:val="center"/>
            </w:pPr>
            <w:r>
              <w:rPr/>
              <w:t xml:space="preserve">41 520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3311</w:t>
            </w:r>
          </w:p>
        </w:tc>
        <w:tc>
          <w:tcPr>
            <w:tcW w:w="2000" w:type="dxa"/>
          </w:tcPr>
          <w:p>
            <w:pPr/>
            <w:r>
              <w:rPr/>
              <w:t xml:space="preserve">Zprostředkovatelé finančních transakcí a finanční makléři</w:t>
            </w:r>
          </w:p>
        </w:tc>
        <w:tc>
          <w:tcPr>
            <w:tcW w:w="1000" w:type="dxa"/>
          </w:tcPr>
          <w:p>
            <w:pPr>
              <w:jc w:val="center"/>
            </w:pPr>
            <w:r>
              <w:rPr/>
              <w:t xml:space="preserve">-</w:t>
            </w:r>
          </w:p>
        </w:tc>
        <w:tc>
          <w:tcPr>
            <w:tcW w:w="1000" w:type="dxa"/>
          </w:tcPr>
          <w:p>
            <w:pPr>
              <w:jc w:val="center"/>
            </w:pPr>
            <w:r>
              <w:rPr/>
              <w:t xml:space="preserve">34 065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i11.D.2413</w:t>
            </w:r>
          </w:p>
        </w:tc>
        <w:tc>
          <w:tcPr>
            <w:tcW w:w="3000" w:type="dxa"/>
          </w:tcPr>
          <w:p>
            <w:pPr/>
            <w:r>
              <w:rPr/>
              <w:t xml:space="preserve">Navrhování opatření pro zajištění návratnosti poskytnutých devizových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i11.D.3411</w:t>
            </w:r>
          </w:p>
        </w:tc>
        <w:tc>
          <w:tcPr>
            <w:tcW w:w="3000" w:type="dxa"/>
          </w:tcPr>
          <w:p>
            <w:pPr/>
            <w:r>
              <w:rPr/>
              <w:t xml:space="preserve">Kontrola plnění smluvních povinností vyplývajících z uzavřených úvěrových smluv včetně kontroly návratnosti těchto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i11.D.3414</w:t>
            </w:r>
          </w:p>
        </w:tc>
        <w:tc>
          <w:tcPr>
            <w:tcW w:w="3000" w:type="dxa"/>
          </w:tcPr>
          <w:p>
            <w:pPr/>
            <w:r>
              <w:rPr/>
              <w:t xml:space="preserve">Posuzování předložených smluv, popř. návrhů na úpravu těchto smluv včetně zpracovávání stanovisek k těmto smlouvám či návrhům jejich změn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i11.D.8412</w:t>
            </w:r>
          </w:p>
        </w:tc>
        <w:tc>
          <w:tcPr>
            <w:tcW w:w="3000" w:type="dxa"/>
          </w:tcPr>
          <w:p>
            <w:pPr/>
            <w:r>
              <w:rPr/>
              <w:t xml:space="preserve">Vedení předepsané evidence a statistiky devizových obchodů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i11.D.8414</w:t>
            </w:r>
          </w:p>
        </w:tc>
        <w:tc>
          <w:tcPr>
            <w:tcW w:w="3000" w:type="dxa"/>
          </w:tcPr>
          <w:p>
            <w:pPr/>
            <w:r>
              <w:rPr/>
              <w:t xml:space="preserve">Vyhledávání a sledování informací o vývoji devizových kurzů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i11.D.8415</w:t>
            </w:r>
          </w:p>
        </w:tc>
        <w:tc>
          <w:tcPr>
            <w:tcW w:w="3000" w:type="dxa"/>
          </w:tcPr>
          <w:p>
            <w:pPr/>
            <w:r>
              <w:rPr/>
              <w:t xml:space="preserve">Zpracovávání dokumentace návrhů na poskytování devizových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i11.C.1411</w:t>
            </w:r>
          </w:p>
        </w:tc>
        <w:tc>
          <w:tcPr>
            <w:tcW w:w="3000" w:type="dxa"/>
          </w:tcPr>
          <w:p>
            <w:pPr/>
            <w:r>
              <w:rPr/>
              <w:t xml:space="preserve">Poskytování konzultací a poradenské činnosti v oblasti devizových obchodů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i11.C.2411</w:t>
            </w:r>
          </w:p>
        </w:tc>
        <w:tc>
          <w:tcPr>
            <w:tcW w:w="3000" w:type="dxa"/>
          </w:tcPr>
          <w:p>
            <w:pPr/>
            <w:r>
              <w:rPr/>
              <w:t xml:space="preserve">Zajišťování nabídky individuálních služeb v oblasti devizových obchodů klientům banky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9D2FB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devizových obchodů</dc:title>
  <dc:description>Samostatný pracovník devizových obchodů provádí zajišťování, posuzování a sledování připravovaných a realizovaných devizových obchodů.</dc:description>
  <dc:subject/>
  <cp:keywords/>
  <cp:category>Specializace</cp:category>
  <cp:lastModifiedBy/>
  <dcterms:created xsi:type="dcterms:W3CDTF">2017-11-22T09:20:34+01:00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