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osob s civilizačními onemocněními</w:t>
      </w:r>
      <w:bookmarkEnd w:id="1"/>
    </w:p>
    <w:p>
      <w:pPr/>
      <w:r>
        <w:rPr/>
        <w:t xml:space="preserve"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intervenovaných pacientů v závislosti na přidružených onemocněních.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intervenovaných pacientů během pohybové aktivity, s použitím měřiče tepové frekvence a měřiče krevního tlaku.</w:t>
      </w:r>
    </w:p>
    <w:p>
      <w:pPr>
        <w:numPr>
          <w:ilvl w:val="0"/>
          <w:numId w:val="5"/>
        </w:numPr>
      </w:pPr>
      <w:r>
        <w:rPr/>
        <w:t xml:space="preserve">Sestavení vhodného tréninkového programu dle specifik pro daná onemocnění.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s důrazem na zdravotní aspekty, techniku a metodiku cvičení s vhodně zvolenými metodami výuky nejen vzhledem k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v pohybech a analýza pohybových stereotypů pro potřeby kondičního tréninku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 civilizačními onemocněními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 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 modifikaci životního stylu a stravovacích návyků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F0B9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osob s civilizačními onemocněními</dc:title>
  <dc:description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dc:description>
  <dc:subject/>
  <cp:keywords/>
  <cp:category>Specializace</cp:category>
  <cp:lastModifiedBy/>
  <dcterms:created xsi:type="dcterms:W3CDTF">2017-11-22T09:20:20+01:00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