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Metodik celního a daňového řízení</w:t>
      </w:r>
      <w:bookmarkEnd w:id="1"/>
    </w:p>
    <w:p>
      <w:pPr/>
      <w:r>
        <w:rPr/>
        <w:t xml:space="preserve">Metodik celního a daňového řízení zajišťuje metodickou a koordinační činnost v oblasti aplikace daňových a souvisejících celně právních předpisů.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Celní správa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Celník, Customs Officer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Daňoví specialisté a daňoví poradci</w:t>
      </w:r>
    </w:p>
    <w:p>
      <w:pPr>
        <w:numPr>
          <w:ilvl w:val="0"/>
          <w:numId w:val="5"/>
        </w:numPr>
      </w:pPr>
      <w:r>
        <w:rPr/>
        <w:t xml:space="preserve">Specialisté v oblasti účetnictví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účetnictví (CZ-ISCO 2411)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59 787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86 601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67 231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72 979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66 914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104 807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68 665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70 109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66 533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59 692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72 984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119 193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63 440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71 707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2411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účetnictví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52 361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71 014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24116</w:t>
            </w:r>
          </w:p>
        </w:tc>
        <w:tc>
          <w:tcPr>
            <w:tcW w:w="2000" w:type="dxa"/>
          </w:tcPr>
          <w:p>
            <w:pPr/>
            <w:r>
              <w:rPr/>
              <w:t xml:space="preserve">Daňoví specialisté a daňoví poradci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83 115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2411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účetnictví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http://data.europa.eu/esco/isco/C2411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právo, právní a 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l21.D.2122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koncepce činnosti celního orgánu s územní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l21.D.2123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opatření týkajících se dovozu, vývozu a zpětného vývozu zboží porušujícího některá práva duševního vlastnictví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l21.D.2124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jednotných zásad pro výkon daňové správy s celostátní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l21.D.8115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příslušné dokumentace v oblasti celního a daňového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l21.C.1121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rad a odborných konzultací v oblastech celně právních, při celním hodnocení, sazebním zařazování zboží a původu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i33.Z.2007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výkonu daňové správy s celostátní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i33.Z.2122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výkonu správy jednotlivých druhů daní nebo fází daňového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l21.Z.2123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a usměrňování technologických postupů při celním hodnocení zboží a jeho sazebním zařazování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l21.Z.2124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oblasti zajišťování celního dluhu, pohledávek na clech, daních a na jiných příjmech spravovaných celními orgány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celní kontrola, vybírání cla a souvisejících poplatků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celní deklarantství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A707A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Metodik celního a daňového řízení</dc:title>
  <dc:description>Metodik celního a daňového řízení zajišťuje metodickou a koordinační činnost v oblasti aplikace daňových a souvisejících celně právních předpisů.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Povolání</cp:category>
  <cp:lastModifiedBy/>
  <dcterms:created xsi:type="dcterms:W3CDTF">2017-11-22T09:19:49+01:00</dcterms:created>
  <dcterms:modified xsi:type="dcterms:W3CDTF">2017-11-22T09:19:49+01:00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