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specialista</w:t>
      </w:r>
      <w:bookmarkEnd w:id="1"/>
    </w:p>
    <w:p>
      <w:pPr/>
      <w:r>
        <w:rPr/>
        <w:t xml:space="preserve"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detektiv s možností speciálního odborného zaměření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Pátrání po osobách a věcech s využitím speciálních metod soukromé detektivní činnosti a kriminalistických metod a techniky.</w:t>
      </w:r>
    </w:p>
    <w:p>
      <w:pPr>
        <w:numPr>
          <w:ilvl w:val="0"/>
          <w:numId w:val="5"/>
        </w:numPr>
      </w:pPr>
      <w:r>
        <w:rPr/>
        <w:t xml:space="preserve">Prošetřování souvislostí a událostí spojených se vznikem škod a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činností, pohybu, režimu dne a styků zájmových osob a činností a vozidel, které jsou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Provádění operativně-pátrací činnosti a organizování kolektivu podřízených detektivů.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3F34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specialista</dc:title>
  <dc:description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