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starověku</w:t>
      </w:r>
      <w:bookmarkEnd w:id="1"/>
    </w:p>
    <w:p>
      <w:pPr/>
      <w:r>
        <w:rPr/>
        <w:t xml:space="preserve">Archeolog starověku provádí archeologický výzkum, průzkum a dohled včetně přípravných heuristických prací. Vědecky zpracovává, analyzuje a interpretuje zachované historické a archeologické prameny z období starověku.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starověku.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období starověku.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starověku.</w:t>
      </w:r>
    </w:p>
    <w:p>
      <w:pPr>
        <w:numPr>
          <w:ilvl w:val="0"/>
          <w:numId w:val="5"/>
        </w:numPr>
      </w:pPr>
      <w:r>
        <w:rPr/>
        <w:t xml:space="preserve">Výzkum hmotné kultury antického starověku.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antická řečtina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8AF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starověku</dc:title>
  <dc:description>Archeolog starověku provádí archeologický výzkum, průzkum a dohled včetně přípravných heuristických prací. Vědecky zpracovává, analyzuje a interpretuje zachované historické a archeologické prameny z období starověku.</dc:description>
  <dc:subject/>
  <cp:keywords/>
  <cp:category>Specializace</cp:category>
  <cp:lastModifiedBy/>
  <dcterms:created xsi:type="dcterms:W3CDTF">2017-11-22T09:19:27+01:00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