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Finanční analytik</w:t>
      </w:r>
      <w:bookmarkEnd w:id="0"/>
    </w:p>
    <w:p>
      <w:pPr/>
      <w:r>
        <w:rPr/>
        <w:t xml:space="preserve">Finanční analytik zpracovává finanční analýzy, spolupracuje na přípravě plánů a prognóz finančního vývoje, hodnotí efektivnost a návratnost investic, identifikuje příležitosti a rizika a zpracovává finanční reporty.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noWrap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  <w:noWrap/>
          </w:tcPr>
          <w:p>
            <w:pPr/>
            <w:r>
              <w:rPr/>
              <w:t xml:space="preserve">Ekonomika, administrativa, personalistika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>
            <w:noWrap/>
          </w:tcPr>
          <w:p>
            <w:pPr/>
            <w:r>
              <w:rPr/>
              <w:t xml:space="preserve">ekonomika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>
            <w:noWrap/>
          </w:tcPr>
          <w:p>
            <w:pPr/>
            <w:r>
              <w:rPr/>
              <w:t xml:space="preserve">Magisterský studijní program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Alternativní názvy:</w:t>
            </w:r>
          </w:p>
        </w:tc>
        <w:tc>
          <w:tcPr>
            <w:noWrap/>
          </w:tcPr>
          <w:p>
            <w:pPr/>
            <w:r>
              <w:rPr/>
              <w:t xml:space="preserve">Specialista finančních analýz, Ekonom analytik, Business Analyst, Financial Analyst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>
            <w:noWrap/>
          </w:tcPr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1" w:name="_Toc1"/>
      <w:r>
        <w:t>Pracovní činnosti</w:t>
      </w:r>
      <w:bookmarkEnd w:id="1"/>
    </w:p>
    <w:p>
      <w:pPr>
        <w:numPr>
          <w:ilvl w:val="0"/>
          <w:numId w:val="5"/>
        </w:numPr>
      </w:pPr>
      <w:r>
        <w:rPr/>
        <w:t xml:space="preserve">Příprava podkladů a zpracování finančních analýz a prognóz.</w:t>
      </w:r>
    </w:p>
    <w:p>
      <w:pPr>
        <w:numPr>
          <w:ilvl w:val="0"/>
          <w:numId w:val="5"/>
        </w:numPr>
      </w:pPr>
      <w:r>
        <w:rPr/>
        <w:t xml:space="preserve">Sledování a vyhodnocování finančního vývoje organizace.</w:t>
      </w:r>
    </w:p>
    <w:p>
      <w:pPr>
        <w:numPr>
          <w:ilvl w:val="0"/>
          <w:numId w:val="5"/>
        </w:numPr>
      </w:pPr>
      <w:r>
        <w:rPr/>
        <w:t xml:space="preserve">Kontrola a analýza nákladů organizace.</w:t>
      </w:r>
    </w:p>
    <w:p>
      <w:pPr>
        <w:numPr>
          <w:ilvl w:val="0"/>
          <w:numId w:val="5"/>
        </w:numPr>
      </w:pPr>
      <w:r>
        <w:rPr/>
        <w:t xml:space="preserve">Hodnocení efektivnosti a návratnosti investic.</w:t>
      </w:r>
    </w:p>
    <w:p>
      <w:pPr>
        <w:numPr>
          <w:ilvl w:val="0"/>
          <w:numId w:val="5"/>
        </w:numPr>
      </w:pPr>
      <w:r>
        <w:rPr/>
        <w:t xml:space="preserve">Posuzování finančních rizik a příležitostí.</w:t>
      </w:r>
    </w:p>
    <w:p>
      <w:pPr>
        <w:numPr>
          <w:ilvl w:val="0"/>
          <w:numId w:val="5"/>
        </w:numPr>
      </w:pPr>
      <w:r>
        <w:rPr/>
        <w:t xml:space="preserve">Tvorba a kontrola finančních plánů.</w:t>
      </w:r>
    </w:p>
    <w:p>
      <w:pPr>
        <w:numPr>
          <w:ilvl w:val="0"/>
          <w:numId w:val="5"/>
        </w:numPr>
      </w:pPr>
      <w:r>
        <w:rPr/>
        <w:t xml:space="preserve">Sestavování kalkulací produktů a služeb.</w:t>
      </w:r>
    </w:p>
    <w:p>
      <w:pPr>
        <w:numPr>
          <w:ilvl w:val="0"/>
          <w:numId w:val="5"/>
        </w:numPr>
      </w:pPr>
      <w:r>
        <w:rPr/>
        <w:t xml:space="preserve">Provádění finančního oceňování.</w:t>
      </w:r>
    </w:p>
    <w:p>
      <w:pPr>
        <w:numPr>
          <w:ilvl w:val="0"/>
          <w:numId w:val="5"/>
        </w:numPr>
      </w:pPr>
      <w:r>
        <w:rPr/>
        <w:t xml:space="preserve">Poskytování expertních konzultací.</w:t>
      </w:r>
    </w:p>
    <w:p>
      <w:pPr>
        <w:numPr>
          <w:ilvl w:val="0"/>
          <w:numId w:val="5"/>
        </w:numPr>
      </w:pPr>
      <w:r>
        <w:rPr/>
        <w:t xml:space="preserve">Vypracování pravidelných reportů a hlášení pro management organizace.</w:t>
      </w:r>
    </w:p>
    <w:p>
      <w:pPr>
        <w:numPr>
          <w:ilvl w:val="0"/>
          <w:numId w:val="5"/>
        </w:numPr>
      </w:pPr>
      <w:r>
        <w:rPr/>
        <w:t xml:space="preserve">Příprava statistik a prezentací.</w:t>
      </w:r>
    </w:p>
    <w:p/>
    <w:p>
      <w:pPr>
        <w:pStyle w:val="Heading2"/>
      </w:pPr>
      <w:bookmarkStart w:id="2" w:name="_Toc2"/>
      <w:r>
        <w:t>CZ-ISCO</w:t>
      </w:r>
      <w:bookmarkEnd w:id="2"/>
    </w:p>
    <w:p>
      <w:pPr>
        <w:numPr>
          <w:ilvl w:val="0"/>
          <w:numId w:val="5"/>
        </w:numPr>
      </w:pPr>
      <w:r>
        <w:rPr/>
        <w:t xml:space="preserve">Finanční analytici</w:t>
      </w:r>
    </w:p>
    <w:p>
      <w:pPr>
        <w:numPr>
          <w:ilvl w:val="0"/>
          <w:numId w:val="5"/>
        </w:numPr>
      </w:pPr>
      <w:r>
        <w:rPr/>
        <w:t xml:space="preserve">Finanční analytici a specialisté v peněžnictví a pojišťovnictví</w:t>
      </w:r>
    </w:p>
    <w:p/>
    <w:p>
      <w:pPr>
        <w:pStyle w:val="Heading3"/>
      </w:pPr>
      <w:bookmarkStart w:id="3" w:name="_Toc3"/>
      <w:r>
        <w:t>Hrubé měsíční mzdy podle krajů v roce 2025</w:t>
      </w:r>
      <w:bookmarkEnd w:id="3"/>
    </w:p>
    <w:p>
      <w:pPr>
        <w:pStyle w:val="Heading4"/>
      </w:pPr>
      <w:bookmarkStart w:id="4" w:name="_Toc4"/>
      <w:r>
        <w:t>Finanční analytici a specialisté v peněžnictví a pojišťovnictví (CZ-ISCO 2413)</w:t>
      </w:r>
      <w:bookmarkEnd w:id="4"/>
    </w:p>
    <w:tbl>
      <w:tblGrid>
        <w:gridCol w:w="2400" w:type="dxa"/>
        <w:gridCol w:w="1100" w:type="dxa"/>
        <w:gridCol w:w="1100" w:type="dxa"/>
        <w:gridCol w:w="1100" w:type="dxa"/>
        <w:gridCol w:w="1100" w:type="dxa"/>
        <w:gridCol w:w="1100" w:type="dxa"/>
        <w:gridCol w:w="1100" w:type="dxa"/>
      </w:tblGrid>
      <w:tblPr>
        <w:jc w:val="start"/>
        <w:tblW w:w="0" w:type="auto"/>
        <w:tblCellSpacing w:w="50" w:type="dxa"/>
        <w:tblLayout w:type="autofit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400" w:type="dxa"/>
            <w:noWrap/>
          </w:tcPr>
          <w:p/>
        </w:tc>
        <w:tc>
          <w:tcPr>
            <w:tcW w:w="3300" w:type="dxa"/>
            <w:gridSpan w:val="3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300" w:type="dxa"/>
            <w:gridSpan w:val="3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2400" w:type="dxa"/>
            <w:noWrap/>
          </w:tcPr>
          <w:p>
            <w:pPr/>
            <w:r>
              <w:rPr>
                <w:b w:val="1"/>
                <w:bCs w:val="1"/>
              </w:rPr>
              <w:t xml:space="preserve">Kraj</w:t>
            </w:r>
          </w:p>
        </w:tc>
        <w:tc>
          <w:tcPr>
            <w:tcW w:w="11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  <w:tc>
          <w:tcPr>
            <w:tcW w:w="11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</w:tr>
      <w:tr>
        <w:trPr/>
        <w:tc>
          <w:tcPr>
            <w:tcW w:w="2000" w:type="dxa"/>
            <w:noWrap/>
          </w:tcPr>
          <w:p>
            <w:pPr/>
            <w:r>
              <w:rPr/>
              <w:t xml:space="preserve">Hlavní město Praha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49 895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81 227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143 399 Kč</w:t>
            </w:r>
          </w:p>
        </w:tc>
        <w:tc>
          <w:tcPr>
            <w:tcW w:w="1000" w:type="dxa"/>
            <w:noWrap/>
          </w:tcPr>
          <w:p/>
        </w:tc>
        <w:tc>
          <w:tcPr>
            <w:tcW w:w="1000" w:type="dxa"/>
            <w:noWrap/>
          </w:tcPr>
          <w:p/>
        </w:tc>
        <w:tc>
          <w:tcPr>
            <w:tcW w:w="1000" w:type="dxa"/>
            <w:noWrap/>
          </w:tcPr>
          <w:p/>
        </w:tc>
      </w:tr>
      <w:tr>
        <w:trPr/>
        <w:tc>
          <w:tcPr>
            <w:tcW w:w="2000" w:type="dxa"/>
            <w:noWrap/>
          </w:tcPr>
          <w:p>
            <w:pPr/>
            <w:r>
              <w:rPr/>
              <w:t xml:space="preserve">Středočeský kraj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47 447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71 781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123 729 Kč</w:t>
            </w:r>
          </w:p>
        </w:tc>
        <w:tc>
          <w:tcPr>
            <w:tcW w:w="1000" w:type="dxa"/>
            <w:noWrap/>
          </w:tcPr>
          <w:p/>
        </w:tc>
        <w:tc>
          <w:tcPr>
            <w:tcW w:w="1000" w:type="dxa"/>
            <w:noWrap/>
          </w:tcPr>
          <w:p/>
        </w:tc>
        <w:tc>
          <w:tcPr>
            <w:tcW w:w="1000" w:type="dxa"/>
            <w:noWrap/>
          </w:tcPr>
          <w:p/>
        </w:tc>
      </w:tr>
      <w:tr>
        <w:trPr/>
        <w:tc>
          <w:tcPr>
            <w:tcW w:w="2000" w:type="dxa"/>
            <w:noWrap/>
          </w:tcPr>
          <w:p>
            <w:pPr/>
            <w:r>
              <w:rPr/>
              <w:t xml:space="preserve">Jihočeský kraj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42 833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68 031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115 788 Kč</w:t>
            </w:r>
          </w:p>
        </w:tc>
        <w:tc>
          <w:tcPr>
            <w:tcW w:w="1000" w:type="dxa"/>
            <w:noWrap/>
          </w:tcPr>
          <w:p/>
        </w:tc>
        <w:tc>
          <w:tcPr>
            <w:tcW w:w="1000" w:type="dxa"/>
            <w:noWrap/>
          </w:tcPr>
          <w:p/>
        </w:tc>
        <w:tc>
          <w:tcPr>
            <w:tcW w:w="1000" w:type="dxa"/>
            <w:noWrap/>
          </w:tcPr>
          <w:p/>
        </w:tc>
      </w:tr>
      <w:tr>
        <w:trPr/>
        <w:tc>
          <w:tcPr>
            <w:tcW w:w="2000" w:type="dxa"/>
            <w:noWrap/>
          </w:tcPr>
          <w:p>
            <w:pPr/>
            <w:r>
              <w:rPr/>
              <w:t xml:space="preserve">Plzeňský kraj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48 491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67 415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124 054 Kč</w:t>
            </w:r>
          </w:p>
        </w:tc>
        <w:tc>
          <w:tcPr>
            <w:tcW w:w="1000" w:type="dxa"/>
            <w:noWrap/>
          </w:tcPr>
          <w:p/>
        </w:tc>
        <w:tc>
          <w:tcPr>
            <w:tcW w:w="1000" w:type="dxa"/>
            <w:noWrap/>
          </w:tcPr>
          <w:p/>
        </w:tc>
        <w:tc>
          <w:tcPr>
            <w:tcW w:w="1000" w:type="dxa"/>
            <w:noWrap/>
          </w:tcPr>
          <w:p/>
        </w:tc>
      </w:tr>
      <w:tr>
        <w:trPr/>
        <w:tc>
          <w:tcPr>
            <w:tcW w:w="2000" w:type="dxa"/>
            <w:noWrap/>
          </w:tcPr>
          <w:p>
            <w:pPr/>
            <w:r>
              <w:rPr/>
              <w:t xml:space="preserve">Ústecký kraj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41 392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71 953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108 027 Kč</w:t>
            </w:r>
          </w:p>
        </w:tc>
        <w:tc>
          <w:tcPr>
            <w:tcW w:w="1000" w:type="dxa"/>
            <w:noWrap/>
          </w:tcPr>
          <w:p/>
        </w:tc>
        <w:tc>
          <w:tcPr>
            <w:tcW w:w="1000" w:type="dxa"/>
            <w:noWrap/>
          </w:tcPr>
          <w:p/>
        </w:tc>
        <w:tc>
          <w:tcPr>
            <w:tcW w:w="1000" w:type="dxa"/>
            <w:noWrap/>
          </w:tcPr>
          <w:p/>
        </w:tc>
      </w:tr>
      <w:tr>
        <w:trPr/>
        <w:tc>
          <w:tcPr>
            <w:tcW w:w="2000" w:type="dxa"/>
            <w:noWrap/>
          </w:tcPr>
          <w:p>
            <w:pPr/>
            <w:r>
              <w:rPr/>
              <w:t xml:space="preserve">Liberecký kraj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40 441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63 694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112 321 Kč</w:t>
            </w:r>
          </w:p>
        </w:tc>
        <w:tc>
          <w:tcPr>
            <w:tcW w:w="1000" w:type="dxa"/>
            <w:noWrap/>
          </w:tcPr>
          <w:p/>
        </w:tc>
        <w:tc>
          <w:tcPr>
            <w:tcW w:w="1000" w:type="dxa"/>
            <w:noWrap/>
          </w:tcPr>
          <w:p/>
        </w:tc>
        <w:tc>
          <w:tcPr>
            <w:tcW w:w="1000" w:type="dxa"/>
            <w:noWrap/>
          </w:tcPr>
          <w:p/>
        </w:tc>
      </w:tr>
      <w:tr>
        <w:trPr/>
        <w:tc>
          <w:tcPr>
            <w:tcW w:w="2000" w:type="dxa"/>
            <w:noWrap/>
          </w:tcPr>
          <w:p>
            <w:pPr/>
            <w:r>
              <w:rPr/>
              <w:t xml:space="preserve">Královéhradecký kraj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48 629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64 510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134 023 Kč</w:t>
            </w:r>
          </w:p>
        </w:tc>
        <w:tc>
          <w:tcPr>
            <w:tcW w:w="1000" w:type="dxa"/>
            <w:noWrap/>
          </w:tcPr>
          <w:p/>
        </w:tc>
        <w:tc>
          <w:tcPr>
            <w:tcW w:w="1000" w:type="dxa"/>
            <w:noWrap/>
          </w:tcPr>
          <w:p/>
        </w:tc>
        <w:tc>
          <w:tcPr>
            <w:tcW w:w="1000" w:type="dxa"/>
            <w:noWrap/>
          </w:tcPr>
          <w:p/>
        </w:tc>
      </w:tr>
      <w:tr>
        <w:trPr/>
        <w:tc>
          <w:tcPr>
            <w:tcW w:w="2000" w:type="dxa"/>
            <w:noWrap/>
          </w:tcPr>
          <w:p>
            <w:pPr/>
            <w:r>
              <w:rPr/>
              <w:t xml:space="preserve">Pardubický kraj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46 336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67 888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101 857 Kč</w:t>
            </w:r>
          </w:p>
        </w:tc>
        <w:tc>
          <w:tcPr>
            <w:tcW w:w="1000" w:type="dxa"/>
            <w:noWrap/>
          </w:tcPr>
          <w:p/>
        </w:tc>
        <w:tc>
          <w:tcPr>
            <w:tcW w:w="1000" w:type="dxa"/>
            <w:noWrap/>
          </w:tcPr>
          <w:p/>
        </w:tc>
        <w:tc>
          <w:tcPr>
            <w:tcW w:w="1000" w:type="dxa"/>
            <w:noWrap/>
          </w:tcPr>
          <w:p/>
        </w:tc>
      </w:tr>
      <w:tr>
        <w:trPr/>
        <w:tc>
          <w:tcPr>
            <w:tcW w:w="2000" w:type="dxa"/>
            <w:noWrap/>
          </w:tcPr>
          <w:p>
            <w:pPr/>
            <w:r>
              <w:rPr/>
              <w:t xml:space="preserve">Kraj Vysočina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47 016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61 367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96 735 Kč</w:t>
            </w:r>
          </w:p>
        </w:tc>
        <w:tc>
          <w:tcPr>
            <w:tcW w:w="1000" w:type="dxa"/>
            <w:noWrap/>
          </w:tcPr>
          <w:p/>
        </w:tc>
        <w:tc>
          <w:tcPr>
            <w:tcW w:w="1000" w:type="dxa"/>
            <w:noWrap/>
          </w:tcPr>
          <w:p/>
        </w:tc>
        <w:tc>
          <w:tcPr>
            <w:tcW w:w="1000" w:type="dxa"/>
            <w:noWrap/>
          </w:tcPr>
          <w:p/>
        </w:tc>
      </w:tr>
      <w:tr>
        <w:trPr/>
        <w:tc>
          <w:tcPr>
            <w:tcW w:w="2000" w:type="dxa"/>
            <w:noWrap/>
          </w:tcPr>
          <w:p>
            <w:pPr/>
            <w:r>
              <w:rPr/>
              <w:t xml:space="preserve">Jihomoravský kraj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44 299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67 028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107 653 Kč</w:t>
            </w:r>
          </w:p>
        </w:tc>
        <w:tc>
          <w:tcPr>
            <w:tcW w:w="1000" w:type="dxa"/>
            <w:noWrap/>
          </w:tcPr>
          <w:p/>
        </w:tc>
        <w:tc>
          <w:tcPr>
            <w:tcW w:w="1000" w:type="dxa"/>
            <w:noWrap/>
          </w:tcPr>
          <w:p/>
        </w:tc>
        <w:tc>
          <w:tcPr>
            <w:tcW w:w="1000" w:type="dxa"/>
            <w:noWrap/>
          </w:tcPr>
          <w:p/>
        </w:tc>
      </w:tr>
      <w:tr>
        <w:trPr/>
        <w:tc>
          <w:tcPr>
            <w:tcW w:w="2000" w:type="dxa"/>
            <w:noWrap/>
          </w:tcPr>
          <w:p>
            <w:pPr/>
            <w:r>
              <w:rPr/>
              <w:t xml:space="preserve">Olomoucký kraj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41 100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59 901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137 250 Kč</w:t>
            </w:r>
          </w:p>
        </w:tc>
        <w:tc>
          <w:tcPr>
            <w:tcW w:w="1000" w:type="dxa"/>
            <w:noWrap/>
          </w:tcPr>
          <w:p/>
        </w:tc>
        <w:tc>
          <w:tcPr>
            <w:tcW w:w="1000" w:type="dxa"/>
            <w:noWrap/>
          </w:tcPr>
          <w:p/>
        </w:tc>
        <w:tc>
          <w:tcPr>
            <w:tcW w:w="1000" w:type="dxa"/>
            <w:noWrap/>
          </w:tcPr>
          <w:p/>
        </w:tc>
      </w:tr>
      <w:tr>
        <w:trPr/>
        <w:tc>
          <w:tcPr>
            <w:tcW w:w="2000" w:type="dxa"/>
            <w:noWrap/>
          </w:tcPr>
          <w:p>
            <w:pPr/>
            <w:r>
              <w:rPr/>
              <w:t xml:space="preserve">Zlínský kraj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43 588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63 686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132 381 Kč</w:t>
            </w:r>
          </w:p>
        </w:tc>
        <w:tc>
          <w:tcPr>
            <w:tcW w:w="1000" w:type="dxa"/>
            <w:noWrap/>
          </w:tcPr>
          <w:p/>
        </w:tc>
        <w:tc>
          <w:tcPr>
            <w:tcW w:w="1000" w:type="dxa"/>
            <w:noWrap/>
          </w:tcPr>
          <w:p/>
        </w:tc>
        <w:tc>
          <w:tcPr>
            <w:tcW w:w="1000" w:type="dxa"/>
            <w:noWrap/>
          </w:tcPr>
          <w:p/>
        </w:tc>
      </w:tr>
      <w:tr>
        <w:trPr/>
        <w:tc>
          <w:tcPr>
            <w:tcW w:w="2000" w:type="dxa"/>
            <w:noWrap/>
          </w:tcPr>
          <w:p>
            <w:pPr/>
            <w:r>
              <w:rPr/>
              <w:t xml:space="preserve">Moravskoslezský kraj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41 767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66 563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114 812 Kč</w:t>
            </w:r>
          </w:p>
        </w:tc>
        <w:tc>
          <w:tcPr>
            <w:tcW w:w="1000" w:type="dxa"/>
            <w:noWrap/>
          </w:tcPr>
          <w:p/>
        </w:tc>
        <w:tc>
          <w:tcPr>
            <w:tcW w:w="1000" w:type="dxa"/>
            <w:noWrap/>
          </w:tcPr>
          <w:p/>
        </w:tc>
        <w:tc>
          <w:tcPr>
            <w:tcW w:w="1000" w:type="dxa"/>
            <w:noWrap/>
          </w:tcPr>
          <w:p/>
        </w:tc>
      </w:tr>
    </w:tbl>
    <w:p/>
    <w:p>
      <w:pPr>
        <w:pStyle w:val="Heading3"/>
      </w:pPr>
      <w:bookmarkStart w:id="5" w:name="_Toc5"/>
      <w:r>
        <w:t>Hrubé měsíční mzdy v roce 2025 celkem</w:t>
      </w:r>
      <w:bookmarkEnd w:id="5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  <w:noWrap/>
          </w:tcPr>
          <w:p/>
        </w:tc>
        <w:tc>
          <w:tcPr>
            <w:tcW w:w="6000" w:type="dxa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  <w:noWrap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  <w:noWrap/>
          </w:tcPr>
          <w:p/>
        </w:tc>
        <w:tc>
          <w:tcPr>
            <w:tcW w:w="3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2413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Finanční analytici a specialisté v peněžnictví a pojišťovnictví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57 903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76 905 Kč</w:t>
            </w:r>
          </w:p>
        </w:tc>
      </w:tr>
      <w:tr>
        <w:trPr/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24136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Finanční analytici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57 871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79 626 Kč</w:t>
            </w:r>
          </w:p>
        </w:tc>
      </w:tr>
    </w:tbl>
    <w:p/>
    <w:p>
      <w:pPr>
        <w:pStyle w:val="Heading2"/>
      </w:pPr>
      <w:bookmarkStart w:id="6" w:name="_Toc6"/>
      <w:r>
        <w:t>ESCO</w:t>
      </w:r>
      <w:bookmarkEnd w:id="6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  <w:noWrap/>
          </w:tcPr>
          <w:p>
            <w:pPr/>
            <w:r>
              <w:rPr/>
              <w:t xml:space="preserve">2413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Finanční analytici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http://data.europa.eu/esco/isco/C2413</w:t>
            </w:r>
          </w:p>
        </w:tc>
      </w:tr>
    </w:tbl>
    <w:p/>
    <w:p/>
    <w:p/>
    <w:p>
      <w:pPr>
        <w:pStyle w:val="Heading2"/>
      </w:pPr>
      <w:bookmarkStart w:id="7" w:name="_Toc7"/>
      <w:r>
        <w:t>Příklady činností</w:t>
      </w:r>
      <w:bookmarkEnd w:id="7"/>
    </w:p>
    <w:tbl>
      <w:tblGrid>
        <w:gridCol w:w="7000" w:type="dxa"/>
        <w:gridCol w:w="2000" w:type="dxa"/>
      </w:tblGrid>
      <w:tblPr>
        <w:jc w:val="start"/>
        <w:tblW w:w="0" w:type="auto"/>
        <w:tblCellSpacing w:w="50" w:type="dxa"/>
        <w:tblLayout w:type="autofit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7000" w:type="dxa"/>
            <w:noWrap/>
          </w:tcPr>
          <w:p>
            <w:pPr/>
            <w:r>
              <w:rPr>
                <w:b w:val="1"/>
                <w:bCs w:val="1"/>
              </w:rPr>
              <w:t xml:space="preserve">Příklady činností ze veřejného sektoru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třída</w:t>
            </w:r>
          </w:p>
        </w:tc>
      </w:tr>
      <w:tr>
        <w:trPr/>
        <w:tc>
          <w:tcPr>
            <w:tcW w:w="7000" w:type="dxa"/>
            <w:noWrap/>
          </w:tcPr>
          <w:p>
            <w:pPr/>
            <w:r>
              <w:rPr/>
              <w:t xml:space="preserve">Finanční referent – Stanovování finanční strategie organizace, provádění finančních operací na finančním a kapitálovém trhu, koordinace finančních a jiných aktivit a zajišťování rovnováhy ve zdrojích a potřebách organizace.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12</w:t>
            </w:r>
          </w:p>
        </w:tc>
      </w:tr>
      <w:tr>
        <w:trPr/>
        <w:tc>
          <w:tcPr>
            <w:tcW w:w="7000" w:type="dxa"/>
            <w:noWrap/>
          </w:tcPr>
          <w:p>
            <w:pPr/>
            <w:r>
              <w:rPr/>
              <w:t xml:space="preserve">Finanční referent – Zajišťování systému financování organizace prostřednictvím více zdrojů financování, například rozpočtových, mimorozpočtových a dalších veřejných zdrojů, úvěrových, dotačních apod.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11</w:t>
            </w:r>
          </w:p>
        </w:tc>
      </w:tr>
      <w:tr>
        <w:trPr/>
        <w:tc>
          <w:tcPr>
            <w:tcW w:w="7000" w:type="dxa"/>
            <w:noWrap/>
          </w:tcPr>
          <w:p>
            <w:pPr/>
            <w:r>
              <w:rPr/>
              <w:t xml:space="preserve">Finanční referent – Zpracování analýz efektivnosti vynakládaných finančních prostředků a předkládání návrhů opatření ke zlepšení efektivnosti hospodaření. Navrhování způsobů financování organizace. Vyhledávání finančních zdrojů. Zpracovávání finančních plánů.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11</w:t>
            </w:r>
          </w:p>
        </w:tc>
      </w:tr>
    </w:tbl>
    <w:p/>
    <w:p>
      <w:pPr>
        <w:pStyle w:val="Heading2"/>
      </w:pPr>
      <w:bookmarkStart w:id="8" w:name="_Toc8"/>
      <w:r>
        <w:t>Pracovní podmínky</w:t>
      </w:r>
      <w:bookmarkEnd w:id="8"/>
    </w:p>
    <w:p>
      <w:pPr/>
      <w:r>
        <w:rPr/>
        <w:t xml:space="preserve">Rizikové faktory pracovních podmínek a vyskytující se druhy zátěže upravuje nařízení vlády č. 361/2007 Sb., kterým se stanoví podmínky ochrany zdraví při práci, zákon č. 258/2000 Sb., o ochraně veřejného zdraví a zákon č. 262/2006 Sb., zákoník práce. Vždy vyplývají z pracovních podmínek, které se vztahují ke konkrétnímu zaměstnavateli, tudíž se mohou u různých zaměstnavatelů lišit.</w:t>
      </w:r>
    </w:p>
    <w:p/>
    <w:p>
      <w:pPr/>
      <w:r>
        <w:rPr/>
        <w:t xml:space="preserve">Určení míry výskytu faktorů, které mohou ovlivnit zdraví při práci vychází z druhu práce vykonávané na pracovišti. Faktory se zařazují do čtyř kategorií dle míry zdravotního rizika a jeho vlivu na zdraví. O zařazení prací do třetí nebo čtvrté kategorie rozhoduje příslušný orgán ochrany veřejného zdraví.</w:t>
      </w:r>
    </w:p>
    <w:p/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1. Stupeň zátěže (minimální zdravotní riziko) - Faktor se při výkonu práce nevyskytuje nebo je zátěž faktorem minimální, vliv faktoru je ze zdravotního hlediska nevýznamný.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2. Stupeň zátěže (únosná míra zdravotního rizika) - Ze zdravotního hlediska je míra zátěže faktorem únosná, nepřekračuje limity stanovené předpisy, vliv faktoru je akceptovatelný pro zdravého člověka.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3. Stupeň zátěže (významná míra zdravotního rizika) - Úroveň zátěže překračuje stanovené limitní hodnoty expozice (zátěže), na pracovištích je nutná realizace náhradních technických a organizačních opatření, nelze vyloučit negativní vliv na zdraví pracovníků.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4. Stupeň zátěže (vysoká míra zdravotního rizika) - Úroveň zátěže vysoce překračuje stanovené limitní hodnoty expozice, na pracovištích musí být dodržován soubor preventivních opatření, častěji dochází k poškození zdraví.</w:t>
      </w:r>
    </w:p>
    <w:p/>
    <w:p/>
    <w:p>
      <w:pPr>
        <w:pStyle w:val="Heading2"/>
      </w:pPr>
      <w:bookmarkStart w:id="9" w:name="_Toc9"/>
      <w:r>
        <w:t>Kvalifikace k výkonu povolání</w:t>
      </w:r>
      <w:bookmarkEnd w:id="9"/>
    </w:p>
    <w:p>
      <w:pPr>
        <w:pStyle w:val="Heading3"/>
      </w:pPr>
      <w:bookmarkStart w:id="10" w:name="_Toc10"/>
      <w:r>
        <w:t>Školní vzdělání</w:t>
      </w:r>
      <w:bookmarkEnd w:id="10"/>
    </w:p>
    <w:p/>
    <w:p>
      <w:pPr>
        <w:pStyle w:val="Heading4"/>
      </w:pPr>
      <w:bookmarkStart w:id="11" w:name="_Toc11"/>
      <w:r>
        <w:t>Nejvhodnější školní přípravu poskytují obory:</w:t>
      </w:r>
      <w:bookmarkEnd w:id="11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Magisterský studijní program v oboru ekonomika a management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6208T</w:t>
            </w:r>
          </w:p>
        </w:tc>
      </w:tr>
    </w:tbl>
    <w:p/>
    <w:p>
      <w:pPr>
        <w:pStyle w:val="Heading4"/>
      </w:pPr>
      <w:bookmarkStart w:id="12" w:name="_Toc12"/>
      <w:r>
        <w:t>Vhodnou školní přípravu poskytují také obory:</w:t>
      </w:r>
      <w:bookmarkEnd w:id="12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Magisterský studijní program v oboru systémové inženýrství a informatika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6209T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Magisterský studijní program ve skupině oborů ekonomie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62xxT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Magisterský studijní program v oboru ekonomické teorie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6201T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Magisterský studijní program v oboru hospodářská politika a správa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6202T</w:t>
            </w:r>
          </w:p>
        </w:tc>
      </w:tr>
    </w:tbl>
    <w:p/>
    <w:p>
      <w:pPr>
        <w:pStyle w:val="Heading2"/>
      </w:pPr>
      <w:bookmarkStart w:id="13" w:name="_Toc13"/>
      <w:r>
        <w:t>Kompetenční požadavky</w:t>
      </w:r>
      <w:bookmarkEnd w:id="13"/>
    </w:p>
    <w:p>
      <w:pPr>
        <w:pStyle w:val="Heading3"/>
      </w:pPr>
      <w:bookmarkStart w:id="14" w:name="_Toc14"/>
      <w:r>
        <w:t>Odborné dovednosti</w:t>
      </w:r>
      <w:bookmarkEnd w:id="14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  <w:noWrap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i32.D.6395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Ekonomické vyhodnocování projektů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i32.D.5959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Zjišťování nákladovosti jednotlivých technologií, výrobních postupů, činností apod.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i32.D.6312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Vyhodnocení finanční situace firmy ve srovnání s ostatními firmami v rámci příslušného oboru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i32.D.5991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Vypracování ekonomických výpočtů rentabilnosti nových investic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i32.D.2025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Navrhování opatření a změn v rozpočtech v případě jejich neplnění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i32.D.6311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Analýza vývoje vnitropodnikových a vnějších ekonomických podmínek a ekonomických i finančních ukazatelů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i32.D.5949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Sledování, vyhodnocování a zpracovávání rozborů hospodaření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i32.D.5921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Zpracovávání dílčích ekonomických rozborů a analýz dle potřeb organizace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i32.D.5962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Sledování, vyhodnocování a zpracovávání rozborů hospodaření dle dílčích plánů nebo jejich částí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i32.D.5933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Vyhodnocování a rozbor efektivnosti a návratnosti všech druhů investic, vyhodnocování vývoje v oblasti nákladovosti, rentability, produktivity a finančních ukazatelů podle standardních účetních výkazů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i32.D.5932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Rozbor účetní závěrky a finanční situace podniku včetně interpretace ukazatelů ekonomické výkonnosti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i32.D.2052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Zpracovávání rozpočtu a finančních plánů organizace, včetně kontroly jejich dodržování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i32.D.6211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Zpracovávání finančních analýz a doporučení pro rozhodování managementu organizace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i32.D.1005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Finanční analýza podniku a jeho provozoven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5" w:name="_Toc15"/>
      <w:r>
        <w:t>Odborné znalosti</w:t>
      </w:r>
      <w:bookmarkEnd w:id="15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  <w:noWrap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i32._.0001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ekonomika podnikatelského subjektu obecně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i32._.0003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principy hospodaření podnikatelského subjektu, hospodářský výsledek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i32._.0002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základní ekonomické ukazatele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i32._.0004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ukazatele ekonomické efektivnosti investic a projektů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i32._.0005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postupy tvorby kalkulací, rozpočtů, ekonomické rozvahy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i32._.0006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finanční analýzy, výpočty a vyhodnocování ekonomických ukazatelů, ekonomické bilance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i32._.0021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finanční plánování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i51._.0022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ekonomický (finanční) management, controlling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i32._.0025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oceňování finančních rizik, teorie finančního rizika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6" w:name="_Toc16"/>
      <w:r>
        <w:t>Digitální kompetence</w:t>
      </w:r>
      <w:bookmarkEnd w:id="16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5.3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Kreativní využívání digitálních technologií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Ochrana životního prostředí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Autorská práva a licence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Integrace a přepracování digitálního obsahu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Tvorba digitálního obsahu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Netiketa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5.4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Identifikace nedostatků v digitálních kompetencích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2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>
        <w:pStyle w:val="Heading3"/>
      </w:pPr>
      <w:bookmarkStart w:id="17" w:name="_Toc17"/>
      <w:r>
        <w:t>Měkké kompetence</w:t>
      </w:r>
      <w:bookmarkEnd w:id="17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0-5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Kompetence k efektivní komunikaci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4.6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Kompetence k výkonnosti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4.5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Kompetence k samostatnosti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Kompetence k plánování a organizování práce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Kompetence k celoživotnímu vzdělávání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Kompetence k aktivnímu přístupu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Kompetence k objevování a orientaci v informacích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5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p/>
    <w:p>
      <w:pPr>
        <w:pStyle w:val="Heading2"/>
      </w:pPr>
      <w:bookmarkStart w:id="18" w:name="_Toc18"/>
      <w:r>
        <w:t>Zdravotní podmínky</w:t>
      </w:r>
      <w:bookmarkEnd w:id="18"/>
    </w:p>
    <w:p>
      <w:pPr>
        <w:pStyle w:val="Heading3"/>
      </w:pPr>
      <w:bookmarkStart w:id="19" w:name="_Toc19"/>
      <w:r>
        <w:t>Onemocnění omezující výkon povolání / specializace povolání.</w:t>
      </w:r>
      <w:bookmarkEnd w:id="19"/>
    </w:p>
    <w:p>
      <w:pPr>
        <w:numPr>
          <w:ilvl w:val="0"/>
          <w:numId w:val="5"/>
        </w:numPr>
      </w:pPr>
      <w:r>
        <w:rPr/>
        <w:t xml:space="preserve">Duševní poruchy a poruchy chování</w:t>
      </w:r>
    </w:p>
    <w:p>
      <w:pPr/>
      <w:r>
        <w:rPr>
          <w:sz w:val="16"/>
          <w:szCs w:val="16"/>
          <w:i w:val="1"/>
          <w:iCs w:val="1"/>
        </w:rPr>
        <w:t xml:space="preserve">Přesné posouzení zdravotního stavu s následným doporučením nebo nedoporučením výkonu této pozice je možné pouze po konzultaci s lékařem.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ACF6D8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Finanční analytik</dc:title>
  <dc:description>Finanční analytik zpracovává finanční analýzy, spolupracuje na přípravě plánů a prognóz finančního vývoje, hodnotí efektivnost a návratnost investic, identifikuje příležitosti a rizika a zpracovává finanční reporty.</dc:description>
  <dc:subject/>
  <cp:keywords/>
  <cp:category>Povolání</cp:category>
  <cp:lastModifiedBy/>
  <dcterms:created xsi:type="dcterms:W3CDTF">2017-11-22T09:18:24+00:00</dcterms:created>
  <dcterms:modified xsi:type="dcterms:W3CDTF">2024-03-26T10:03:33+00:00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