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dopravně správních agend v ÚSC</w:t>
      </w:r>
      <w:bookmarkEnd w:id="1"/>
    </w:p>
    <w:p>
      <w:pPr/>
      <w:r>
        <w:rPr/>
        <w:t xml:space="preserve">Specialista dopravně správních agend v ÚSC koordinuje činnosti úseku registru řidičů a vozidel a rozhoduje o technické způsobilosti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usměrňování činností spadajících do oblasti dopravně správních agend.</w:t>
      </w:r>
    </w:p>
    <w:p>
      <w:pPr>
        <w:numPr>
          <w:ilvl w:val="0"/>
          <w:numId w:val="5"/>
        </w:numPr>
      </w:pPr>
      <w:r>
        <w:rPr/>
        <w:t xml:space="preserve">Řízení a kontrola správnosti postupů při vyřizování žádostí občanů a institucí.</w:t>
      </w:r>
    </w:p>
    <w:p>
      <w:pPr>
        <w:numPr>
          <w:ilvl w:val="0"/>
          <w:numId w:val="5"/>
        </w:numPr>
      </w:pPr>
      <w:r>
        <w:rPr/>
        <w:t xml:space="preserve">Koordinuje vydávání řidičských průkazů,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Kontroluje činnosti spojené s vydáváním osvědčení o registraci silničního motorového vozidla, přidělování registrační značky a zápis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uložení pokuty dle příslušné zákonné normy.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a vydávání profesního osvědčení pro učitele výuky a výcviku, provádění zkoušek žadatelů o vydávání průkazu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samosprávných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4FC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dopravně správních agend v ÚSC</dc:title>
  <dc:description>Specialista dopravně správních agend v ÚSC koordinuje činnosti úseku registru řidičů a vozidel a rozhoduje o technické způsobilosti motorových vozidel.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