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Bankovní specialista</w:t>
      </w:r>
      <w:bookmarkEnd w:id="1"/>
    </w:p>
    <w:p>
      <w:pPr/>
      <w:r>
        <w:rPr/>
        <w:t xml:space="preserve">Bankovní specialista provádí komplexní stanovování složitých bankovních postupů, vytváří metodiky, uzavírá složité obchody, zpracovává koncepční záměry a strategie banky, uzavírá nejvýznamnější a nejsložitější obchody s cennými papíry.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Bankovní expert, Bank clerk</w:t>
            </w:r>
          </w:p>
        </w:tc>
      </w:tr>
      <w:tr>
        <w:trPr/>
        <w:tc>
          <w:tcPr/>
          <w:p>
            <w:pPr/>
            <w:r>
              <w:rPr>
                <w:b w:val="1"/>
                <w:bCs w:val="1"/>
              </w:rPr>
              <w:t xml:space="preserve">Podřízené specializace:</w:t>
            </w:r>
          </w:p>
        </w:tc>
        <w:tc>
          <w:tcPr/>
          <w:p>
            <w:pPr/>
            <w:r>
              <w:rPr/>
              <w:t xml:space="preserve">Specialista rozvoje bankovních obchodů, Specialista kapitálových obchodů, Dealer, Specialista analýzy finančního trhu, Specialista úvěrových rizik, Specialista bankovních strategií, Makléř, Specialista devizových obchodů, Specialista systému platebních karet, Specialista metodik bankovních hotovostních operací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poradenské a zprostředkovatelské služby pro klienty.</w:t>
      </w:r>
    </w:p>
    <w:p>
      <w:pPr>
        <w:numPr>
          <w:ilvl w:val="0"/>
          <w:numId w:val="5"/>
        </w:numPr>
      </w:pPr>
      <w:r>
        <w:rPr/>
        <w:t xml:space="preserve">Příprava a zpracování podkladů z oblasti řízení úvěrů, úrokové strategie a politiky banky.</w:t>
      </w:r>
    </w:p>
    <w:p>
      <w:pPr>
        <w:numPr>
          <w:ilvl w:val="0"/>
          <w:numId w:val="5"/>
        </w:numPr>
      </w:pPr>
      <w:r>
        <w:rPr/>
        <w:t xml:space="preserve">Řízení tvorby metodických a pracovních postupů.</w:t>
      </w:r>
    </w:p>
    <w:p>
      <w:pPr>
        <w:numPr>
          <w:ilvl w:val="0"/>
          <w:numId w:val="5"/>
        </w:numPr>
      </w:pPr>
      <w:r>
        <w:rPr/>
        <w:t xml:space="preserve">Spolupráce a koordinace postupů s ČNB a mimo bankovními orgány.</w:t>
      </w:r>
    </w:p>
    <w:p>
      <w:pPr>
        <w:numPr>
          <w:ilvl w:val="0"/>
          <w:numId w:val="5"/>
        </w:numPr>
      </w:pPr>
      <w:r>
        <w:rPr/>
        <w:t xml:space="preserve">Zpracování komplexních projektů.</w:t>
      </w:r>
    </w:p>
    <w:p>
      <w:pPr>
        <w:numPr>
          <w:ilvl w:val="0"/>
          <w:numId w:val="5"/>
        </w:numPr>
      </w:pPr>
      <w:r>
        <w:rPr/>
        <w:t xml:space="preserve">Uzavírání bankovních obchodů.</w:t>
      </w:r>
    </w:p>
    <w:p>
      <w:pPr>
        <w:numPr>
          <w:ilvl w:val="0"/>
          <w:numId w:val="5"/>
        </w:numPr>
      </w:pPr>
      <w:r>
        <w:rPr/>
        <w:t xml:space="preserve">Vypracování statistických výkazů a předepsané evidence.</w:t>
      </w:r>
    </w:p>
    <w:p>
      <w:pPr>
        <w:numPr>
          <w:ilvl w:val="0"/>
          <w:numId w:val="5"/>
        </w:numPr>
      </w:pPr>
      <w:r>
        <w:rPr/>
        <w:t xml:space="preserve">Vytváření koncepcí a vrcholové metodiky tvorby nových bankovních produktů a služeb.</w:t>
      </w:r>
    </w:p>
    <w:p>
      <w:pPr>
        <w:numPr>
          <w:ilvl w:val="0"/>
          <w:numId w:val="5"/>
        </w:numPr>
      </w:pPr>
      <w:r>
        <w:rPr/>
        <w:t xml:space="preserve">Vytváření a udržování informačního systému.</w:t>
      </w:r>
    </w:p>
    <w:p>
      <w:pPr>
        <w:numPr>
          <w:ilvl w:val="0"/>
          <w:numId w:val="5"/>
        </w:numPr>
      </w:pPr>
      <w:r>
        <w:rPr/>
        <w:t xml:space="preserve">Zajišťování analytické, řídící a kontrolní činnosti.</w:t>
      </w:r>
    </w:p>
    <w:p>
      <w:pPr>
        <w:numPr>
          <w:ilvl w:val="0"/>
          <w:numId w:val="5"/>
        </w:numPr>
      </w:pPr>
      <w:r>
        <w:rPr/>
        <w:t xml:space="preserve">Provádění školení, přednáškové a konzultační činnosti.</w:t>
      </w:r>
    </w:p>
    <w:p>
      <w:pPr>
        <w:numPr>
          <w:ilvl w:val="0"/>
          <w:numId w:val="5"/>
        </w:numPr>
      </w:pPr>
      <w:r>
        <w:rPr/>
        <w:t xml:space="preserve">Vyhodnocování informací na tuzemských a zahraničních kapitálových trzích.</w:t>
      </w:r>
    </w:p>
    <w:p>
      <w:pPr>
        <w:numPr>
          <w:ilvl w:val="0"/>
          <w:numId w:val="5"/>
        </w:numPr>
      </w:pPr>
      <w:r>
        <w:rPr/>
        <w:t xml:space="preserve">Vytváření koncepce strategie a politiky banky.</w:t>
      </w:r>
    </w:p>
    <w:p>
      <w:pPr>
        <w:numPr>
          <w:ilvl w:val="0"/>
          <w:numId w:val="5"/>
        </w:numPr>
      </w:pPr>
      <w:r>
        <w:rPr/>
        <w:t xml:space="preserve">Zpracování koncepce strategie a politiky banky v měnové a devizové oblasti včetně nástrojů k její realizaci.</w:t>
      </w:r>
    </w:p>
    <w:p/>
    <w:p>
      <w:pPr>
        <w:pStyle w:val="Heading2"/>
      </w:pPr>
      <w:bookmarkStart w:id="3" w:name="_Toc3"/>
      <w:r>
        <w:t>Kompetenční požadavky</w:t>
      </w:r>
      <w:bookmarkEnd w:id="3"/>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4" w:name="_Toc4"/>
      <w:r>
        <w:t>Digitální kompetence</w:t>
      </w:r>
      <w:bookmarkEnd w:id="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011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Bankovní specialista</dc:title>
  <dc:description>Bankovní specialista provádí komplexní stanovování složitých bankovních postupů, vytváří metodiky, uzavírá složité obchody, zpracovává koncepční záměry a strategie banky, uzavírá nejvýznamnější a nejsložitější obchody s cennými papíry.</dc:description>
  <dc:subject/>
  <cp:keywords/>
  <cp:category>Povolání</cp:category>
  <cp:lastModifiedBy/>
  <dcterms:created xsi:type="dcterms:W3CDTF">2017-11-22T09:16:43+01:00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