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Dealer asistent</w:t>
      </w:r>
      <w:bookmarkEnd w:id="1"/>
    </w:p>
    <w:p>
      <w:pPr/>
      <w:r>
        <w:rPr/>
        <w:t xml:space="preserve">Dealer asistent provádí zajišťování jednodušších obchodů v rámci stanovených limitů.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Zajišťování jednodušších obchodů na účet banky v rámci stanovených limitů.</w:t>
      </w:r>
    </w:p>
    <w:p>
      <w:pPr>
        <w:numPr>
          <w:ilvl w:val="0"/>
          <w:numId w:val="5"/>
        </w:numPr>
      </w:pPr>
      <w:r>
        <w:rPr/>
        <w:t xml:space="preserve">Akviziční činnost bankovních produktů, služeb a obchodů.</w:t>
      </w:r>
    </w:p>
    <w:p/>
    <w:p>
      <w:pPr>
        <w:pStyle w:val="Heading2"/>
      </w:pPr>
      <w:bookmarkStart w:id="3" w:name="_Toc3"/>
      <w:r>
        <w:t>CZ-ISCO</w:t>
      </w:r>
      <w:bookmarkEnd w:id="3"/>
    </w:p>
    <w:p>
      <w:pPr>
        <w:numPr>
          <w:ilvl w:val="0"/>
          <w:numId w:val="5"/>
        </w:numPr>
      </w:pPr>
      <w:r>
        <w:rPr/>
        <w:t xml:space="preserve">Zprostředkovatelé finančních transakcí a finanční makléři</w:t>
      </w:r>
    </w:p>
    <w:p>
      <w:pPr>
        <w:numPr>
          <w:ilvl w:val="0"/>
          <w:numId w:val="5"/>
        </w:numPr>
      </w:pPr>
      <w:r>
        <w:rPr/>
        <w:t xml:space="preserve">Zprostředkovatelé finančních transakcí a finanční makléři</w:t>
      </w:r>
    </w:p>
    <w:p/>
    <w:p>
      <w:pPr>
        <w:pStyle w:val="Heading3"/>
      </w:pPr>
      <w:bookmarkStart w:id="4" w:name="_Toc4"/>
      <w:r>
        <w:t>Hrubé měsíční mzdy podle krajů v roce 2020</w:t>
      </w:r>
      <w:bookmarkEnd w:id="4"/>
    </w:p>
    <w:p>
      <w:pPr>
        <w:pStyle w:val="Heading4"/>
      </w:pPr>
      <w:bookmarkStart w:id="5" w:name="_Toc5"/>
      <w:r>
        <w:t>Zprostředkovatelé finančních transakcí a finanční makléři (CZ-ISCO 3311)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31 354 Kč</w:t>
            </w:r>
          </w:p>
        </w:tc>
        <w:tc>
          <w:tcPr>
            <w:tcW w:w="1000" w:type="dxa"/>
          </w:tcPr>
          <w:p>
            <w:pPr>
              <w:jc w:val="center"/>
            </w:pPr>
            <w:r>
              <w:rPr/>
              <w:t xml:space="preserve">46 764 Kč</w:t>
            </w:r>
          </w:p>
        </w:tc>
        <w:tc>
          <w:tcPr>
            <w:tcW w:w="1000" w:type="dxa"/>
          </w:tcPr>
          <w:p>
            <w:pPr>
              <w:jc w:val="center"/>
            </w:pPr>
            <w:r>
              <w:rPr>
                <w:sz w:val="16"/>
                <w:szCs w:val="16"/>
              </w:rPr>
              <w:t xml:space="preserve">110 960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25 006 Kč</w:t>
            </w:r>
          </w:p>
        </w:tc>
        <w:tc>
          <w:tcPr>
            <w:tcW w:w="1000" w:type="dxa"/>
          </w:tcPr>
          <w:p>
            <w:pPr>
              <w:jc w:val="center"/>
            </w:pPr>
            <w:r>
              <w:rPr/>
              <w:t xml:space="preserve">27 856 Kč</w:t>
            </w:r>
          </w:p>
        </w:tc>
        <w:tc>
          <w:tcPr>
            <w:tcW w:w="1000" w:type="dxa"/>
          </w:tcPr>
          <w:p>
            <w:pPr>
              <w:jc w:val="center"/>
            </w:pPr>
            <w:r>
              <w:rPr/>
              <w:t xml:space="preserve">43 249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22 637 Kč</w:t>
            </w:r>
          </w:p>
        </w:tc>
        <w:tc>
          <w:tcPr>
            <w:tcW w:w="1000" w:type="dxa"/>
          </w:tcPr>
          <w:p>
            <w:pPr>
              <w:jc w:val="center"/>
            </w:pPr>
            <w:r>
              <w:rPr/>
              <w:t xml:space="preserve">25 632 Kč</w:t>
            </w:r>
          </w:p>
        </w:tc>
        <w:tc>
          <w:tcPr>
            <w:tcW w:w="1000" w:type="dxa"/>
          </w:tcPr>
          <w:p>
            <w:pPr>
              <w:jc w:val="center"/>
            </w:pPr>
            <w:r>
              <w:rPr/>
              <w:t xml:space="preserve">39 613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25 570 Kč</w:t>
            </w:r>
          </w:p>
        </w:tc>
        <w:tc>
          <w:tcPr>
            <w:tcW w:w="1000" w:type="dxa"/>
          </w:tcPr>
          <w:p>
            <w:pPr>
              <w:jc w:val="center"/>
            </w:pPr>
            <w:r>
              <w:rPr/>
              <w:t xml:space="preserve">33 225 Kč</w:t>
            </w:r>
          </w:p>
        </w:tc>
        <w:tc>
          <w:tcPr>
            <w:tcW w:w="1000" w:type="dxa"/>
          </w:tcPr>
          <w:p>
            <w:pPr>
              <w:jc w:val="center"/>
            </w:pPr>
            <w:r>
              <w:rPr/>
              <w:t xml:space="preserve">67 035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22 977 Kč</w:t>
            </w:r>
          </w:p>
        </w:tc>
        <w:tc>
          <w:tcPr>
            <w:tcW w:w="1000" w:type="dxa"/>
          </w:tcPr>
          <w:p>
            <w:pPr>
              <w:jc w:val="center"/>
            </w:pPr>
            <w:r>
              <w:rPr/>
              <w:t xml:space="preserve">29 919 Kč</w:t>
            </w:r>
          </w:p>
        </w:tc>
        <w:tc>
          <w:tcPr>
            <w:tcW w:w="1000" w:type="dxa"/>
          </w:tcPr>
          <w:p>
            <w:pPr>
              <w:jc w:val="center"/>
            </w:pPr>
            <w:r>
              <w:rPr/>
              <w:t xml:space="preserve">60 579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22 525 Kč</w:t>
            </w:r>
          </w:p>
        </w:tc>
        <w:tc>
          <w:tcPr>
            <w:tcW w:w="1000" w:type="dxa"/>
          </w:tcPr>
          <w:p>
            <w:pPr>
              <w:jc w:val="center"/>
            </w:pPr>
            <w:r>
              <w:rPr/>
              <w:t xml:space="preserve">25 995 Kč</w:t>
            </w:r>
          </w:p>
        </w:tc>
        <w:tc>
          <w:tcPr>
            <w:tcW w:w="1000" w:type="dxa"/>
          </w:tcPr>
          <w:p>
            <w:pPr>
              <w:jc w:val="center"/>
            </w:pPr>
            <w:r>
              <w:rPr/>
              <w:t xml:space="preserve">41 520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3311</w:t>
            </w:r>
          </w:p>
        </w:tc>
        <w:tc>
          <w:tcPr>
            <w:tcW w:w="2000" w:type="dxa"/>
          </w:tcPr>
          <w:p>
            <w:pPr/>
            <w:r>
              <w:rPr/>
              <w:t xml:space="preserve">Zprostředkovatelé finančních transakcí a finanční makléři</w:t>
            </w:r>
          </w:p>
        </w:tc>
        <w:tc>
          <w:tcPr>
            <w:tcW w:w="1000" w:type="dxa"/>
          </w:tcPr>
          <w:p>
            <w:pPr>
              <w:jc w:val="center"/>
            </w:pPr>
            <w:r>
              <w:rPr/>
              <w:t xml:space="preserve">-</w:t>
            </w:r>
          </w:p>
        </w:tc>
        <w:tc>
          <w:tcPr>
            <w:tcW w:w="1000" w:type="dxa"/>
          </w:tcPr>
          <w:p>
            <w:pPr>
              <w:jc w:val="center"/>
            </w:pPr>
            <w:r>
              <w:rPr/>
              <w:t xml:space="preserve">34 065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bl>
    <w:p>
      <w:pPr>
        <w:pStyle w:val="Heading3"/>
      </w:pPr>
      <w:bookmarkStart w:id="12" w:name="_Toc12"/>
      <w:r>
        <w:t>Legislativní požadavky</w:t>
      </w:r>
      <w:bookmarkEnd w:id="12"/>
    </w:p>
    <w:p>
      <w:pPr>
        <w:numPr>
          <w:ilvl w:val="0"/>
          <w:numId w:val="5"/>
        </w:numPr>
      </w:pPr>
      <w:r>
        <w:rPr/>
        <w:t xml:space="preserve">povinné - Činnosti investičního zprostředkovatele (osvědčení o registraci) podle § 30 zákona č. 256/2004 Sb., o podnikání na kapitálovém trhu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i11.D.3432</w:t>
            </w:r>
          </w:p>
        </w:tc>
        <w:tc>
          <w:tcPr>
            <w:tcW w:w="3000" w:type="dxa"/>
          </w:tcPr>
          <w:p>
            <w:pPr/>
            <w:r>
              <w:rPr/>
              <w:t xml:space="preserve">Kontrola průběhu uzavřených bankovních obchodů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i13.D.8438</w:t>
            </w:r>
          </w:p>
        </w:tc>
        <w:tc>
          <w:tcPr>
            <w:tcW w:w="3000" w:type="dxa"/>
          </w:tcPr>
          <w:p>
            <w:pPr/>
            <w:r>
              <w:rPr/>
              <w:t xml:space="preserve">Shromažďování informací o vývoji na finančních trzích (analýzy, statistiky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i11.D.8439</w:t>
            </w:r>
          </w:p>
        </w:tc>
        <w:tc>
          <w:tcPr>
            <w:tcW w:w="3000" w:type="dxa"/>
          </w:tcPr>
          <w:p>
            <w:pPr/>
            <w:r>
              <w:rPr/>
              <w:t xml:space="preserve">Zpracovávání statistických výkazů a předepsané evidence (dle požadavků ČNB i příslušného peněžního ústavu)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i13.C.1433</w:t>
            </w:r>
          </w:p>
        </w:tc>
        <w:tc>
          <w:tcPr>
            <w:tcW w:w="3000" w:type="dxa"/>
          </w:tcPr>
          <w:p>
            <w:pPr/>
            <w:r>
              <w:rPr/>
              <w:t xml:space="preserve">Poskytování informací o pohybech na finančních trzích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i11.C.3431</w:t>
            </w:r>
          </w:p>
        </w:tc>
        <w:tc>
          <w:tcPr>
            <w:tcW w:w="3000" w:type="dxa"/>
          </w:tcPr>
          <w:p>
            <w:pPr/>
            <w:r>
              <w:rPr/>
              <w:t xml:space="preserve">Obchodování na účet banky na mezibankovních trzích (jednoduché obchody v rámci stanovených limitů)</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6" w:name="_Toc16"/>
      <w:r>
        <w:t>Zdravotní podmínky</w:t>
      </w:r>
      <w:bookmarkEnd w:id="16"/>
    </w:p>
    <w:p>
      <w:pPr>
        <w:pStyle w:val="Heading3"/>
      </w:pPr>
      <w:bookmarkStart w:id="17" w:name="_Toc17"/>
      <w:r>
        <w:t>Onemocnění omezující výkon povolání / specializace povolání.</w:t>
      </w:r>
      <w:bookmarkEnd w:id="17"/>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8" w:name="_Toc18"/>
      <w:r>
        <w:t>Onemocnění vylučující výkon povolání / specializace povolání.e</w:t>
      </w:r>
      <w:bookmarkEnd w:id="18"/>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163A8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Dealer asistent</dc:title>
  <dc:description>Dealer asistent provádí zajišťování jednodušších obchodů v rámci stanovených limitů.</dc:description>
  <dc:subject/>
  <cp:keywords/>
  <cp:category>Specializace</cp:category>
  <cp:lastModifiedBy/>
  <dcterms:created xsi:type="dcterms:W3CDTF">2017-11-22T09:16:40+01:00</dcterms:created>
  <dcterms:modified xsi:type="dcterms:W3CDTF">2017-11-22T09:43:11+01:00</dcterms:modified>
</cp:coreProperties>
</file>

<file path=docProps/custom.xml><?xml version="1.0" encoding="utf-8"?>
<Properties xmlns="http://schemas.openxmlformats.org/officeDocument/2006/custom-properties" xmlns:vt="http://schemas.openxmlformats.org/officeDocument/2006/docPropsVTypes"/>
</file>