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akcelerantů hoření</w:t>
      </w:r>
      <w:bookmarkEnd w:id="1"/>
    </w:p>
    <w:p>
      <w:pPr/>
      <w:r>
        <w:rPr/>
        <w:t xml:space="preserve">Psovod bezpečnostní služby pro detekci akcelerantů hoření za pomoci vycvičeného psa vyhledává, detekuje a označuje akceleranty hoření, které byly zneužity k založení požáru.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– detekce akcelerantů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akcelerantů hoření na požářišti metodou založenou na vysoké citlivosti a rozlišovací schopnosti čichového ústrojí vycvičeného psa, který je schopen spolehlivě identifikovat nepatrná rezidua hořlavých látek po požáru.</w:t>
      </w:r>
    </w:p>
    <w:p>
      <w:pPr>
        <w:numPr>
          <w:ilvl w:val="0"/>
          <w:numId w:val="5"/>
        </w:numPr>
      </w:pPr>
      <w:r>
        <w:rPr/>
        <w:t xml:space="preserve">Určení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pro detekci akcelerantů hoření (68-016-M)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nosičů pro laboratorní vyhodnocení, používání správných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l22.E.2100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akcelerantů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4FD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akcelerantů hoření</dc:title>
  <dc:description>Psovod bezpečnostní služby pro detekci akcelerantů hoření za pomoci vycvičeného psa vyhledává, detekuje a označuje akceleranty hoření, které byly zneužity k založení požáru.
</dc:description>
  <dc:subject/>
  <cp:keywords/>
  <cp:category>Specializace</cp:category>
  <cp:lastModifiedBy/>
  <dcterms:created xsi:type="dcterms:W3CDTF">2017-11-22T09:15:37+01:00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