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Obráběč keramiky</w:t>
      </w:r>
      <w:bookmarkEnd w:id="1"/>
    </w:p>
    <w:p>
      <w:pPr/>
      <w:r>
        <w:rPr/>
        <w:t xml:space="preserve">Obráběč keramiky zhotovuje výrobky z keramiky obráběním.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obráběním.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Obráběč/obráběčka keramiky (28-009-H)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keramických výrobků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vytváření keramických výrobků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výrobků ve vlhkém i v suchém stavu a manipulování s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CB97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Obráběč keramiky</dc:title>
  <dc:description>Obráběč keramiky zhotovuje výrobky z keramiky obráběním.</dc:description>
  <dc:subject/>
  <cp:keywords/>
  <cp:category>Specializace</cp:category>
  <cp:lastModifiedBy/>
  <dcterms:created xsi:type="dcterms:W3CDTF">2017-11-22T09:15:19+01:00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