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Pracovník jakosti v textilní výrobě</w:t>
      </w:r>
      <w:bookmarkEnd w:id="1"/>
    </w:p>
    <w:p>
      <w:pPr/>
      <w:r>
        <w:rPr/>
        <w:t xml:space="preserve">Pracovník jakosti v textilní výrobě zajišťuje a v případě potřeby organizuje procesy popsané v systému řízení jakosti.</w:t>
      </w:r>
    </w:p>
    <w:p/>
    <w:tbl>
      <w:tblGrid>
        <w:gridCol w:w="3000" w:type="dxa"/>
        <w:gridCol w:w="6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/>
            <w:r>
              <w:rPr>
                <w:b w:val="1"/>
                <w:bCs w:val="1"/>
              </w:rPr>
              <w:t xml:space="preserve">Odborný směr:</w:t>
            </w:r>
          </w:p>
        </w:tc>
        <w:tc>
          <w:tcPr>
            <w:tcW w:w="6000" w:type="dxa"/>
          </w:tcPr>
          <w:p>
            <w:pPr/>
            <w:r>
              <w:rPr/>
              <w:t xml:space="preserve">Textilní a oděvní výroba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Odborný podsměr:</w:t>
            </w:r>
          </w:p>
        </w:tc>
        <w:tc>
          <w:tcPr/>
          <w:p>
            <w:pPr/>
            <w:r>
              <w:rPr/>
              <w:t xml:space="preserve">nezařazeno do odborného podsměru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Kvalifikační úroveň:</w:t>
            </w:r>
          </w:p>
        </w:tc>
        <w:tc>
          <w:tcPr/>
          <w:p>
            <w:pPr/>
            <w:r>
              <w:rPr/>
              <w:t xml:space="preserve">Střední vzdělání s výučním listem tříleté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Nadřízené povolání:</w:t>
            </w:r>
          </w:p>
        </w:tc>
        <w:tc>
          <w:tcPr/>
          <w:p>
            <w:pPr/>
            <w:r>
              <w:rPr/>
              <w:t xml:space="preserve">Výrobce textilií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Příbuzné specializace:</w:t>
            </w:r>
          </w:p>
        </w:tc>
        <w:tc>
          <w:tcPr/>
          <w:p>
            <w:pPr/>
            <w:r>
              <w:rPr/>
              <w:t xml:space="preserve">Přadlák, Textilní mistr, Úpravář textilií, Krajkář, Tiskař textilií, Pracovník jakosti v textilní výrobě, Plsťař, Síťař, Pletař, Výrobce netkaných textilií, Tkadlec, Provazník, Prýmkař, Barvíř textilií, Výrobce netkaných textilií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Regulovaná jednotka práce:</w:t>
            </w:r>
          </w:p>
        </w:tc>
        <w:tc>
          <w:tcPr/>
          <w:p>
            <w:pPr/>
            <w:r>
              <w:rPr/>
              <w:t xml:space="preserve">ne</w:t>
            </w:r>
          </w:p>
        </w:tc>
      </w:tr>
    </w:tbl>
    <w:p/>
    <w:p>
      <w:pPr>
        <w:pStyle w:val="Heading2"/>
      </w:pPr>
      <w:bookmarkStart w:id="2" w:name="_Toc2"/>
      <w:r>
        <w:t>Pracovní činnosti</w:t>
      </w:r>
      <w:bookmarkEnd w:id="2"/>
    </w:p>
    <w:p>
      <w:pPr>
        <w:numPr>
          <w:ilvl w:val="0"/>
          <w:numId w:val="5"/>
        </w:numPr>
      </w:pPr>
      <w:r>
        <w:rPr/>
        <w:t xml:space="preserve">Spolupráce na udržování systému řízení jakosti.</w:t>
      </w:r>
    </w:p>
    <w:p>
      <w:pPr>
        <w:numPr>
          <w:ilvl w:val="0"/>
          <w:numId w:val="5"/>
        </w:numPr>
      </w:pPr>
      <w:r>
        <w:rPr/>
        <w:t xml:space="preserve">Podíl na řízení jakosti, normalizace, metrologie a zkušebnictví.</w:t>
      </w:r>
    </w:p>
    <w:p>
      <w:pPr>
        <w:numPr>
          <w:ilvl w:val="0"/>
          <w:numId w:val="5"/>
        </w:numPr>
      </w:pPr>
      <w:r>
        <w:rPr/>
        <w:t xml:space="preserve">Zajišťování požadované kvalitativní úrovně vstupů, výrobních procesů a výstupů.</w:t>
      </w:r>
    </w:p>
    <w:p>
      <w:pPr>
        <w:numPr>
          <w:ilvl w:val="0"/>
          <w:numId w:val="5"/>
        </w:numPr>
      </w:pPr>
      <w:r>
        <w:rPr/>
        <w:t xml:space="preserve">Zajišťování aktualizace technických norem a normativů.</w:t>
      </w:r>
    </w:p>
    <w:p>
      <w:pPr>
        <w:numPr>
          <w:ilvl w:val="0"/>
          <w:numId w:val="5"/>
        </w:numPr>
      </w:pPr>
      <w:r>
        <w:rPr/>
        <w:t xml:space="preserve">Vypracovávání kvalitativních posudků a hodnocení.</w:t>
      </w:r>
    </w:p>
    <w:p>
      <w:pPr>
        <w:numPr>
          <w:ilvl w:val="0"/>
          <w:numId w:val="5"/>
        </w:numPr>
      </w:pPr>
      <w:r>
        <w:rPr/>
        <w:t xml:space="preserve">Vedení příslušné technické dokumentace.</w:t>
      </w:r>
    </w:p>
    <w:p/>
    <w:p>
      <w:pPr>
        <w:pStyle w:val="Heading2"/>
      </w:pPr>
      <w:bookmarkStart w:id="3" w:name="_Toc3"/>
      <w:r>
        <w:t>CZ-ISCO</w:t>
      </w:r>
      <w:bookmarkEnd w:id="3"/>
    </w:p>
    <w:p>
      <w:pPr>
        <w:numPr>
          <w:ilvl w:val="0"/>
          <w:numId w:val="5"/>
        </w:numPr>
      </w:pPr>
      <w:r>
        <w:rPr/>
        <w:t xml:space="preserve">Kvalitáři a testovači výrobků, laboranti (kromě potravin a nápojů)</w:t>
      </w:r>
    </w:p>
    <w:p>
      <w:pPr>
        <w:numPr>
          <w:ilvl w:val="0"/>
          <w:numId w:val="5"/>
        </w:numPr>
      </w:pPr>
      <w:r>
        <w:rPr/>
        <w:t xml:space="preserve">Kvalitáři a testovači výrobků, laboranti (kromě potravin a nápojů)</w:t>
      </w:r>
    </w:p>
    <w:p/>
    <w:p>
      <w:pPr>
        <w:pStyle w:val="Heading3"/>
      </w:pPr>
      <w:bookmarkStart w:id="4" w:name="_Toc4"/>
      <w:r>
        <w:t>Hrubé měsíční mzdy podle krajů v roce 2025</w:t>
      </w:r>
      <w:bookmarkEnd w:id="4"/>
    </w:p>
    <w:p>
      <w:pPr>
        <w:pStyle w:val="Heading4"/>
      </w:pPr>
      <w:bookmarkStart w:id="5" w:name="_Toc5"/>
      <w:r>
        <w:t>Kvalitáři a testovači výrobků, laboranti (kromě potravin a nápojů) (CZ-ISCO 7543)</w:t>
      </w:r>
      <w:bookmarkEnd w:id="5"/>
    </w:p>
    <w:tbl>
      <w:tblGrid>
        <w:gridCol w:w="2400" w:type="dxa"/>
        <w:gridCol w:w="1100" w:type="dxa"/>
        <w:gridCol w:w="1100" w:type="dxa"/>
        <w:gridCol w:w="1100" w:type="dxa"/>
        <w:gridCol w:w="1100" w:type="dxa"/>
        <w:gridCol w:w="1100" w:type="dxa"/>
        <w:gridCol w:w="11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400" w:type="dxa"/>
          </w:tcPr>
          <w:p/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2400" w:type="dxa"/>
          </w:tcPr>
          <w:p>
            <w:pPr/>
            <w:r>
              <w:rPr>
                <w:b w:val="1"/>
                <w:bCs w:val="1"/>
              </w:rPr>
              <w:t xml:space="preserve">Kraj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Hlavní město Praha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25 246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48 203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83 186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Středočeský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30 581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46 131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80 283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Jihočeský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28 473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41 513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61 802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Plzeňský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32 972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43 297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58 722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Karlovarský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27 880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44 729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58 306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Ústecký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33 006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43 964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64 357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Liberecký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28 191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42 256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56 384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Královéhradecký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30 287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43 204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85 125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Pardubický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30 148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40 843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53 823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Kraj Vysočina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29 425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42 479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56 548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Jihomoravský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31 144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41 251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54 059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Olomoucký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27 039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36 981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51 201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Zlínský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26 441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37 171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49 355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Moravskoslezský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32 272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45 063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63 207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</w:tbl>
    <w:p/>
    <w:p>
      <w:pPr>
        <w:pStyle w:val="Heading3"/>
      </w:pPr>
      <w:bookmarkStart w:id="6" w:name="_Toc6"/>
      <w:r>
        <w:t>Hrubé měsíční mzdy v roce 2025 celkem</w:t>
      </w:r>
      <w:bookmarkEnd w:id="6"/>
    </w:p>
    <w:tbl>
      <w:tblGrid>
        <w:gridCol w:w="1000" w:type="dxa"/>
        <w:gridCol w:w="2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  <w:gridSpan w:val="2"/>
          </w:tcPr>
          <w:p/>
        </w:tc>
        <w:tc>
          <w:tcPr>
            <w:tcW w:w="6000" w:type="dxa"/>
            <w:gridSpan w:val="2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 za ČR celkem</w:t>
            </w:r>
          </w:p>
        </w:tc>
      </w:tr>
      <w:tr>
        <w:trPr/>
        <w:tc>
          <w:tcPr>
            <w:tcW w:w="1000" w:type="dxa"/>
          </w:tcPr>
          <w:p>
            <w:pPr/>
            <w:r>
              <w:rPr>
                <w:b w:val="1"/>
                <w:bCs w:val="1"/>
              </w:rPr>
              <w:t xml:space="preserve">CZ-ISCO</w:t>
            </w:r>
          </w:p>
        </w:tc>
        <w:tc>
          <w:tcPr>
            <w:tcW w:w="2000" w:type="dxa"/>
          </w:tcPr>
          <w:p/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7543</w:t>
            </w:r>
          </w:p>
        </w:tc>
        <w:tc>
          <w:tcPr>
            <w:tcW w:w="2000" w:type="dxa"/>
          </w:tcPr>
          <w:p>
            <w:pPr/>
            <w:r>
              <w:rPr/>
              <w:t xml:space="preserve">Kvalitáři a testovači výrobků, laboranti (kromě potravin a nápojů)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-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42 644 Kč</w:t>
            </w:r>
          </w:p>
        </w:tc>
      </w:tr>
    </w:tbl>
    <w:p/>
    <w:p>
      <w:pPr>
        <w:pStyle w:val="Heading2"/>
      </w:pPr>
      <w:bookmarkStart w:id="7" w:name="_Toc7"/>
      <w:r>
        <w:t>ESCO</w:t>
      </w:r>
      <w:bookmarkEnd w:id="7"/>
    </w:p>
    <w:tbl>
      <w:tblGrid>
        <w:gridCol w:w="3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 podskupiny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 podskupiny v ESCO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URL - podskupiny v ESCO</w:t>
            </w:r>
          </w:p>
        </w:tc>
      </w:tr>
      <w:tr>
        <w:trPr/>
        <w:tc>
          <w:tcPr>
            <w:tcW w:w="3000" w:type="dxa"/>
          </w:tcPr>
          <w:p>
            <w:pPr/>
            <w:r>
              <w:rPr/>
              <w:t xml:space="preserve">7543</w:t>
            </w:r>
          </w:p>
        </w:tc>
        <w:tc>
          <w:tcPr>
            <w:tcW w:w="3000" w:type="dxa"/>
          </w:tcPr>
          <w:p>
            <w:pPr/>
            <w:r>
              <w:rPr/>
              <w:t xml:space="preserve">Kvalitáři a testovači výrobků (kromě potravin a nápojů)</w:t>
            </w:r>
          </w:p>
        </w:tc>
        <w:tc>
          <w:tcPr>
            <w:tcW w:w="3000" w:type="dxa"/>
          </w:tcPr>
          <w:p>
            <w:pPr/>
            <w:r>
              <w:rPr/>
              <w:t xml:space="preserve">http://data.europa.eu/esco/isco/C7543</w:t>
            </w:r>
          </w:p>
        </w:tc>
      </w:tr>
    </w:tbl>
    <w:p/>
    <w:p/>
    <w:p/>
    <w:p>
      <w:pPr>
        <w:pStyle w:val="Heading2"/>
      </w:pPr>
      <w:bookmarkStart w:id="8" w:name="_Toc8"/>
      <w:r>
        <w:t>Pracovní podmínky</w:t>
      </w:r>
      <w:bookmarkEnd w:id="8"/>
    </w:p>
    <w:p>
      <w:pPr/>
      <w:r>
        <w:rPr/>
        <w:t xml:space="preserve">Rizikové faktory pracovních podmínek a vyskytující se druhy zátěže upravuje nařízení vlády č. 361/2007 Sb., kterým se stanoví podmínky ochrany zdraví při práci, zákon č. 258/2000 Sb., o ochraně veřejného zdraví a zákon č. 262/2006 Sb., zákoník práce. Vždy vyplývají z pracovních podmínek, které se vztahují ke konkrétnímu zaměstnavateli, tudíž se mohou u různých zaměstnavatelů lišit.</w:t>
      </w:r>
    </w:p>
    <w:p/>
    <w:p>
      <w:pPr/>
      <w:r>
        <w:rPr/>
        <w:t xml:space="preserve">Určení míry výskytu faktorů, které mohou ovlivnit zdraví při práci vychází z druhu práce vykonávané na pracovišti. Faktory se zařazují do čtyř kategorií dle míry zdravotního rizika a jeho vlivu na zdraví. O zařazení prací do třetí nebo čtvrté kategorie rozhoduje příslušný orgán ochrany veřejného zdraví.</w:t>
      </w:r>
    </w:p>
    <w:p/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1. Stupeň zátěže (minimální zdravotní riziko) - Faktor se při výkonu práce nevyskytuje nebo je zátěž faktorem minimální, vliv faktoru je ze zdravotního hlediska nevýznamný.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2. Stupeň zátěže (únosná míra zdravotního rizika) - Ze zdravotního hlediska je míra zátěže faktorem únosná, nepřekračuje limity stanovené předpisy, vliv faktoru je akceptovatelný pro zdravého člověka.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3. Stupeň zátěže (významná míra zdravotního rizika) - Úroveň zátěže překračuje stanovené limitní hodnoty expozice (zátěže), na pracovištích je nutná realizace náhradních technických a organizačních opatření, nelze vyloučit negativní vliv na zdraví pracovníků.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4. Stupeň zátěže (vysoká míra zdravotního rizika) - Úroveň zátěže vysoce překračuje stanovené limitní hodnoty expozice, na pracovištích musí být dodržován soubor preventivních opatření, častěji dochází k poškození zdraví.</w:t>
      </w:r>
    </w:p>
    <w:p/>
    <w:p/>
    <w:p>
      <w:pPr>
        <w:pStyle w:val="Heading2"/>
      </w:pPr>
      <w:bookmarkStart w:id="9" w:name="_Toc9"/>
      <w:r>
        <w:t>Kvalifikace k výkonu povolání</w:t>
      </w:r>
      <w:bookmarkEnd w:id="9"/>
    </w:p>
    <w:p>
      <w:pPr>
        <w:pStyle w:val="Heading3"/>
      </w:pPr>
      <w:bookmarkStart w:id="10" w:name="_Toc10"/>
      <w:r>
        <w:t>Školní vzdělání</w:t>
      </w:r>
      <w:bookmarkEnd w:id="10"/>
    </w:p>
    <w:p/>
    <w:p>
      <w:pPr>
        <w:pStyle w:val="Heading4"/>
      </w:pPr>
      <w:bookmarkStart w:id="11" w:name="_Toc11"/>
      <w:r>
        <w:t>Nejvhodnější školní přípravu poskytují obory:</w:t>
      </w:r>
      <w:bookmarkEnd w:id="11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výučním listem ve skupině oborů textilní výroba a oděvnictví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31xxH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RVP</w:t>
            </w:r>
          </w:p>
        </w:tc>
        <w:tc>
          <w:tcPr>
            <w:tcW w:w="5000" w:type="dxa"/>
          </w:tcPr>
          <w:p>
            <w:pPr/>
            <w:r>
              <w:rPr/>
              <w:t xml:space="preserve">Výrobce textilií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31-57-H/01</w:t>
            </w:r>
          </w:p>
        </w:tc>
      </w:tr>
    </w:tbl>
    <w:p/>
    <w:p>
      <w:pPr>
        <w:pStyle w:val="Heading4"/>
      </w:pPr>
      <w:bookmarkStart w:id="12" w:name="_Toc12"/>
      <w:r>
        <w:t>Vhodnou školní přípravu poskytují také obory:</w:t>
      </w:r>
      <w:bookmarkEnd w:id="12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výučním listem ve skupině oborů technická chemie a chemie silikátů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28xxH</w:t>
            </w:r>
          </w:p>
        </w:tc>
      </w:tr>
    </w:tbl>
    <w:p/>
    <w:p>
      <w:pPr>
        <w:pStyle w:val="Heading2"/>
      </w:pPr>
      <w:bookmarkStart w:id="13" w:name="_Toc13"/>
      <w:r>
        <w:t>Kompetenční požadavky</w:t>
      </w:r>
      <w:bookmarkEnd w:id="13"/>
    </w:p>
    <w:p>
      <w:pPr>
        <w:pStyle w:val="Heading3"/>
      </w:pPr>
      <w:bookmarkStart w:id="14" w:name="_Toc14"/>
      <w:r>
        <w:t>Odborné dovednosti</w:t>
      </w:r>
      <w:bookmarkEnd w:id="14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e21.Z.2540</w:t>
            </w:r>
          </w:p>
        </w:tc>
        <w:tc>
          <w:tcPr>
            <w:tcW w:w="3000" w:type="dxa"/>
          </w:tcPr>
          <w:p>
            <w:pPr/>
            <w:r>
              <w:rPr/>
              <w:t xml:space="preserve">Koordinace řízení jakosti, normalizace a zkušebnictví v textilní výrobě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e21.Z.2530</w:t>
            </w:r>
          </w:p>
        </w:tc>
        <w:tc>
          <w:tcPr>
            <w:tcW w:w="3000" w:type="dxa"/>
          </w:tcPr>
          <w:p>
            <w:pPr/>
            <w:r>
              <w:rPr/>
              <w:t xml:space="preserve">Metodické řízení vstupní, výstupní a mezioperační kontroly v textilní výrobě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e21.D.6140</w:t>
            </w:r>
          </w:p>
        </w:tc>
        <w:tc>
          <w:tcPr>
            <w:tcW w:w="3000" w:type="dxa"/>
          </w:tcPr>
          <w:p>
            <w:pPr/>
            <w:r>
              <w:rPr/>
              <w:t xml:space="preserve">Zjišťování příčin snížené kvality textilních výrobků a navrhování opatření k dosažení žádoucí kvality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e21.D.1110</w:t>
            </w:r>
          </w:p>
        </w:tc>
        <w:tc>
          <w:tcPr>
            <w:tcW w:w="3000" w:type="dxa"/>
          </w:tcPr>
          <w:p>
            <w:pPr/>
            <w:r>
              <w:rPr/>
              <w:t xml:space="preserve">Orientace v normách jakosti a kvality v textilní výrobě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e21.D.2540</w:t>
            </w:r>
          </w:p>
        </w:tc>
        <w:tc>
          <w:tcPr>
            <w:tcW w:w="3000" w:type="dxa"/>
          </w:tcPr>
          <w:p>
            <w:pPr/>
            <w:r>
              <w:rPr/>
              <w:t xml:space="preserve">Stanovování způsobů hodnocení a třídění jakost a přejímacích podmínek v textilní výrobě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e21.D.2521</w:t>
            </w:r>
          </w:p>
        </w:tc>
        <w:tc>
          <w:tcPr>
            <w:tcW w:w="3000" w:type="dxa"/>
          </w:tcPr>
          <w:p>
            <w:pPr/>
            <w:r>
              <w:rPr/>
              <w:t xml:space="preserve">Spolupráce na zpracování plánů řízení jakosti nových výrobků a procesů v textilní výrobě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e21.Z.2519</w:t>
            </w:r>
          </w:p>
        </w:tc>
        <w:tc>
          <w:tcPr>
            <w:tcW w:w="3000" w:type="dxa"/>
          </w:tcPr>
          <w:p>
            <w:pPr/>
            <w:r>
              <w:rPr/>
              <w:t xml:space="preserve">Zajišťování systémů řízení jakosti v organizaci textilní výroby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5" w:name="_Toc15"/>
      <w:r>
        <w:t>Odborné znalosti</w:t>
      </w:r>
      <w:bookmarkEnd w:id="15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e21._.0002</w:t>
            </w:r>
          </w:p>
        </w:tc>
        <w:tc>
          <w:tcPr>
            <w:tcW w:w="3000" w:type="dxa"/>
          </w:tcPr>
          <w:p>
            <w:pPr/>
            <w:r>
              <w:rPr/>
              <w:t xml:space="preserve">textilní materiály a produkty, druhy, vlastnosti, vady, způsoby rozborů a zkoušek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e21._.0005</w:t>
            </w:r>
          </w:p>
        </w:tc>
        <w:tc>
          <w:tcPr>
            <w:tcW w:w="3000" w:type="dxa"/>
          </w:tcPr>
          <w:p>
            <w:pPr/>
            <w:r>
              <w:rPr/>
              <w:t xml:space="preserve">základy textilních technologií, základní druhy strojů a zařízení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e21._.0061</w:t>
            </w:r>
          </w:p>
        </w:tc>
        <w:tc>
          <w:tcPr>
            <w:tcW w:w="3000" w:type="dxa"/>
          </w:tcPr>
          <w:p>
            <w:pPr/>
            <w:r>
              <w:rPr/>
              <w:t xml:space="preserve">systémy a standardy kvality v textilu a oděvnictví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e21._.0098</w:t>
            </w:r>
          </w:p>
        </w:tc>
        <w:tc>
          <w:tcPr>
            <w:tcW w:w="3000" w:type="dxa"/>
          </w:tcPr>
          <w:p>
            <w:pPr/>
            <w:r>
              <w:rPr/>
              <w:t xml:space="preserve">ekonomika a řízení textilní výroby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6" w:name="_Toc16"/>
      <w:r>
        <w:t>Digitální kompetence</w:t>
      </w:r>
      <w:bookmarkEnd w:id="16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Prohlížení, vyhledávání a filtrování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5.3</w:t>
            </w:r>
          </w:p>
        </w:tc>
        <w:tc>
          <w:tcPr>
            <w:tcW w:w="5000" w:type="dxa"/>
          </w:tcPr>
          <w:p>
            <w:pPr/>
            <w:r>
              <w:rPr/>
              <w:t xml:space="preserve">Kreativní využívání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5.2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potřeb a výběr vhodných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5.1</w:t>
            </w:r>
          </w:p>
        </w:tc>
        <w:tc>
          <w:tcPr>
            <w:tcW w:w="5000" w:type="dxa"/>
          </w:tcPr>
          <w:p>
            <w:pPr/>
            <w:r>
              <w:rPr/>
              <w:t xml:space="preserve">Řešení technických problémů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životního prostředí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4.3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zdraví a duševní pohody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osobních dat a soukromí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zařízení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Autorská práva a licence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3.2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Integrace a přepracování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3.1</w:t>
            </w:r>
          </w:p>
        </w:tc>
        <w:tc>
          <w:tcPr>
            <w:tcW w:w="5000" w:type="dxa"/>
          </w:tcPr>
          <w:p>
            <w:pPr/>
            <w:r>
              <w:rPr/>
              <w:t xml:space="preserve">Tvorba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2.5</w:t>
            </w:r>
          </w:p>
        </w:tc>
        <w:tc>
          <w:tcPr>
            <w:tcW w:w="5000" w:type="dxa"/>
          </w:tcPr>
          <w:p>
            <w:pPr/>
            <w:r>
              <w:rPr/>
              <w:t xml:space="preserve">Netiketa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Spolupráce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Sdílení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Interakce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Správa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Hodnocení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5.4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nedostatků v digitálních kompetencích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https://nsp.cz/downloads/Priloha_c15_manualu.pdf</w:t>
      </w:r>
    </w:p>
    <w:p/>
    <w:p>
      <w:pPr>
        <w:pStyle w:val="Heading3"/>
      </w:pPr>
      <w:bookmarkStart w:id="17" w:name="_Toc17"/>
      <w:r>
        <w:t>Měkké kompetence</w:t>
      </w:r>
      <w:bookmarkEnd w:id="17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0-5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efektivní komunikaci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2.6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vedení lidí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0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objevování a orientaci v informacích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zvládání stresu a zátěže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aktivnímu přístupu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celoživotnímu vzdělávání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plánování a organizování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řešení problémů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4.5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samostatnosti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4.6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výkonnosti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orientaci na zákazníka a uspokojování zákaznických potřeb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0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flexibilitě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kreativitě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kooperaci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ovlivňování a rozvíjení ostatních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https://nsp.cz/downloads/Priloha_c9_manualu.pdf</w:t>
      </w:r>
    </w:p>
    <w:p/>
    <w:p>
      <w:pPr>
        <w:pStyle w:val="Heading2"/>
      </w:pPr>
      <w:bookmarkStart w:id="18" w:name="_Toc18"/>
      <w:r>
        <w:t>Zdravotní podmínky</w:t>
      </w:r>
      <w:bookmarkEnd w:id="18"/>
    </w:p>
    <w:p>
      <w:pPr>
        <w:pStyle w:val="Heading3"/>
      </w:pPr>
      <w:bookmarkStart w:id="19" w:name="_Toc19"/>
      <w:r>
        <w:t>Onemocnění omezující výkon povolání / specializace povolání.</w:t>
      </w:r>
      <w:bookmarkEnd w:id="19"/>
    </w:p>
    <w:p>
      <w:pPr>
        <w:numPr>
          <w:ilvl w:val="0"/>
          <w:numId w:val="5"/>
        </w:numPr>
      </w:pPr>
      <w:r>
        <w:rPr/>
        <w:t xml:space="preserve">Onemocnění oběhové soustavy</w:t>
      </w:r>
    </w:p>
    <w:p>
      <w:pPr>
        <w:numPr>
          <w:ilvl w:val="0"/>
          <w:numId w:val="5"/>
        </w:numPr>
      </w:pPr>
      <w:r>
        <w:rPr/>
        <w:t xml:space="preserve">Poruchy termoregulace</w:t>
      </w:r>
    </w:p>
    <w:p>
      <w:pPr>
        <w:numPr>
          <w:ilvl w:val="0"/>
          <w:numId w:val="5"/>
        </w:numPr>
      </w:pPr>
      <w:r>
        <w:rPr/>
        <w:t xml:space="preserve">Závažná chronická onemocnění kůže a spojivek</w:t>
      </w:r>
    </w:p>
    <w:p>
      <w:pPr>
        <w:numPr>
          <w:ilvl w:val="0"/>
          <w:numId w:val="5"/>
        </w:numPr>
      </w:pPr>
      <w:r>
        <w:rPr/>
        <w:t xml:space="preserve">Alergická onemocnění</w:t>
      </w:r>
    </w:p>
    <w:p>
      <w:pPr>
        <w:numPr>
          <w:ilvl w:val="0"/>
          <w:numId w:val="5"/>
        </w:numPr>
      </w:pPr>
      <w:r>
        <w:rPr/>
        <w:t xml:space="preserve">Duševní poruchy a poruchy chování</w:t>
      </w:r>
    </w:p>
    <w:p>
      <w:pPr>
        <w:numPr>
          <w:ilvl w:val="0"/>
          <w:numId w:val="5"/>
        </w:numPr>
      </w:pPr>
      <w:r>
        <w:rPr/>
        <w:t xml:space="preserve">Závažná nervová onemocnění a psychosomatická onemocnění</w:t>
      </w:r>
    </w:p>
    <w:p>
      <w:pPr/>
      <w:r>
        <w:rPr>
          <w:sz w:val="16"/>
          <w:szCs w:val="16"/>
          <w:i w:val="1"/>
          <w:iCs w:val="1"/>
        </w:rPr>
        <w:t xml:space="preserve">Přesné posouzení zdravotního stavu s následným doporučením nebo nedoporučením výkonu této pozice je možné pouze po konzultaci s lékařem.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5">
    <w:nsid w:val="96E69CB2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120"/>
    </w:pPr>
    <w:rPr>
      <w:sz w:val="40"/>
      <w:szCs w:val="40"/>
      <w:b w:val="1"/>
      <w:bCs w:val="1"/>
    </w:rPr>
  </w:style>
  <w:style w:type="paragraph" w:styleId="Heading2">
    <w:link w:val="Heading2Char"/>
    <w:name w:val="heading 2"/>
    <w:basedOn w:val="Normal"/>
    <w:pPr>
      <w:spacing w:after="80"/>
    </w:pPr>
    <w:rPr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60"/>
    </w:pPr>
    <w:rPr>
      <w:sz w:val="24"/>
      <w:szCs w:val="24"/>
      <w:b w:val="1"/>
      <w:bCs w:val="1"/>
    </w:rPr>
  </w:style>
  <w:style w:type="paragraph" w:styleId="Heading4">
    <w:link w:val="Heading4Char"/>
    <w:name w:val="heading 4"/>
    <w:basedOn w:val="Normal"/>
    <w:pPr>
      <w:spacing w:after="6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FDV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NSP.CZ</dc:creator>
  <dc:title>Pracovník jakosti v textilní výrobě</dc:title>
  <dc:description>Pracovník jakosti v textilní výrobě zajišťuje a v případě potřeby organizuje procesy popsané v systému řízení jakosti.</dc:description>
  <dc:subject/>
  <cp:keywords/>
  <cp:category>Specializace</cp:category>
  <cp:lastModifiedBy/>
  <dcterms:created xsi:type="dcterms:W3CDTF">2017-11-22T09:14:53+01:00</dcterms:created>
  <dcterms:modified xsi:type="dcterms:W3CDTF">2017-11-22T09:43:06+01:00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