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rozvoje elektrické sítě</w:t>
      </w:r>
      <w:bookmarkEnd w:id="1"/>
    </w:p>
    <w:p>
      <w:pPr/>
      <w:r>
        <w:rPr/>
        <w:t xml:space="preserve">Technik rozvoje elektrické sítě specialista řídí rozvoj a obnovu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rozvoje distribuční soustavy, Technik rozvoje elektrické sítě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 stavu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elektrické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Spolupráce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Posuzování technických a ekonomických podkladů investičních záměrů.</w:t>
      </w:r>
    </w:p>
    <w:p>
      <w:pPr>
        <w:numPr>
          <w:ilvl w:val="0"/>
          <w:numId w:val="5"/>
        </w:numPr>
      </w:pPr>
      <w:r>
        <w:rPr/>
        <w:t xml:space="preserve">Realizace zásadních strategických rozhodnutí v oblasti rozvoje a obnovy elektrizační sítě.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D3B7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rozvoje elektrické sítě</dc:title>
  <dc:description>Technik rozvoje elektrické sítě specialista řídí rozvoj a obnovu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