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číslicově řízených strojů</w:t>
      </w:r>
      <w:bookmarkEnd w:id="1"/>
    </w:p>
    <w:p>
      <w:pPr/>
      <w:r>
        <w:rPr/>
        <w:t xml:space="preserve"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Electronics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Oživování a předávání nových strojů zákazníkovi a servisní opravy u zákazníka.</w:t>
      </w:r>
    </w:p>
    <w:p>
      <w:pPr>
        <w:numPr>
          <w:ilvl w:val="0"/>
          <w:numId w:val="5"/>
        </w:numPr>
      </w:pPr>
      <w:r>
        <w:rPr/>
        <w:t xml:space="preserve">Montáž a seřizování souborů strojů a uzlů pružných výrobních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opravy a údržba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CNC výrobních strojů, PRaM, pracovišť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programů pro CNC výrobní stroje, PRaM a výrobní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sestavování, montáž a oživování CNC výrobních strojů, PRaM, pracovišť a linek, jejich komponentů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číslicově řízených strojů, zařízení a komplexů 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stavu logických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přesnosti a parametrů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958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číslicově řízených strojů</dc:title>
  <dc:description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dc:description>
  <dc:subject/>
  <cp:keywords/>
  <cp:category>Specializace</cp:category>
  <cp:lastModifiedBy/>
  <dcterms:created xsi:type="dcterms:W3CDTF">2017-11-22T09:08:59+01:00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